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88" w:rsidRDefault="00AE5388">
      <w:pPr>
        <w:rPr>
          <w:sz w:val="22"/>
          <w:szCs w:val="22"/>
          <w:lang w:val="en-US"/>
        </w:rPr>
      </w:pPr>
    </w:p>
    <w:p w:rsidR="00BB615C" w:rsidRPr="00F07E49" w:rsidRDefault="00BB615C" w:rsidP="00BB615C">
      <w:pPr>
        <w:rPr>
          <w:b/>
        </w:rPr>
      </w:pPr>
      <w:r>
        <w:rPr>
          <w:b/>
        </w:rPr>
        <w:t>Tender-</w:t>
      </w:r>
      <w:r w:rsidR="00F81740" w:rsidRPr="00F81740">
        <w:rPr>
          <w:b/>
        </w:rPr>
        <w:t>35946</w:t>
      </w:r>
    </w:p>
    <w:p w:rsidR="00AE5388" w:rsidRPr="00BB615C" w:rsidRDefault="00AE5388"/>
    <w:p w:rsidR="00AE5388" w:rsidRDefault="00AE5388">
      <w:pPr>
        <w:jc w:val="center"/>
        <w:rPr>
          <w:b/>
          <w:sz w:val="22"/>
          <w:szCs w:val="22"/>
        </w:rPr>
      </w:pPr>
    </w:p>
    <w:p w:rsidR="00AE5388" w:rsidRDefault="00D076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ПРИГЛАШЕНИЕ</w:t>
      </w:r>
    </w:p>
    <w:p w:rsidR="00BB615C" w:rsidRDefault="00BB615C">
      <w:pPr>
        <w:jc w:val="center"/>
        <w:rPr>
          <w:b/>
          <w:sz w:val="22"/>
          <w:szCs w:val="22"/>
        </w:rPr>
      </w:pPr>
    </w:p>
    <w:p w:rsidR="00BB615C" w:rsidRDefault="00BB615C">
      <w:pPr>
        <w:jc w:val="center"/>
        <w:rPr>
          <w:b/>
          <w:sz w:val="22"/>
          <w:szCs w:val="22"/>
        </w:rPr>
      </w:pPr>
    </w:p>
    <w:p w:rsidR="00BB615C" w:rsidRDefault="00BB615C" w:rsidP="00BB615C">
      <w:pPr>
        <w:jc w:val="center"/>
        <w:rPr>
          <w:b/>
          <w:bCs/>
          <w:sz w:val="22"/>
          <w:szCs w:val="22"/>
        </w:rPr>
      </w:pPr>
      <w:r>
        <w:t>к участию в тендере на: «</w:t>
      </w:r>
      <w:r>
        <w:rPr>
          <w:b/>
          <w:bCs/>
          <w:sz w:val="22"/>
          <w:szCs w:val="22"/>
        </w:rPr>
        <w:t>Оказание услуг по добровольному медицинскому страхованию работников группы компаний «</w:t>
      </w:r>
      <w:r>
        <w:rPr>
          <w:b/>
          <w:bCs/>
          <w:sz w:val="22"/>
          <w:szCs w:val="22"/>
          <w:lang w:val="en-US"/>
        </w:rPr>
        <w:t>Unitile</w:t>
      </w:r>
      <w:r>
        <w:rPr>
          <w:b/>
          <w:bCs/>
          <w:sz w:val="22"/>
          <w:szCs w:val="22"/>
        </w:rPr>
        <w:t>» в период 202</w:t>
      </w:r>
      <w:r w:rsidR="00C31D0A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–202</w:t>
      </w:r>
      <w:r w:rsidR="00C31D0A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гг.»</w:t>
      </w:r>
    </w:p>
    <w:p w:rsidR="00BB615C" w:rsidRDefault="00BB615C" w:rsidP="00BB615C">
      <w:pPr>
        <w:jc w:val="center"/>
        <w:rPr>
          <w:b/>
        </w:rPr>
      </w:pPr>
    </w:p>
    <w:p w:rsidR="00BB615C" w:rsidRDefault="00BB615C" w:rsidP="00BB615C">
      <w:pPr>
        <w:rPr>
          <w:b/>
        </w:rPr>
      </w:pPr>
    </w:p>
    <w:p w:rsidR="00BB615C" w:rsidRDefault="00BB615C" w:rsidP="00BB615C">
      <w:pPr>
        <w:jc w:val="center"/>
        <w:rPr>
          <w:b/>
        </w:rPr>
      </w:pPr>
      <w:r>
        <w:rPr>
          <w:b/>
        </w:rPr>
        <w:t>УВАЖАЕМЫЕ ГОСПОДА!</w:t>
      </w:r>
    </w:p>
    <w:p w:rsidR="00BB615C" w:rsidRDefault="00BB615C">
      <w:pPr>
        <w:jc w:val="center"/>
        <w:rPr>
          <w:b/>
          <w:sz w:val="22"/>
          <w:szCs w:val="22"/>
        </w:rPr>
      </w:pPr>
    </w:p>
    <w:p w:rsidR="00AE5388" w:rsidRDefault="00AE5388">
      <w:pPr>
        <w:jc w:val="center"/>
        <w:rPr>
          <w:sz w:val="22"/>
          <w:szCs w:val="22"/>
        </w:rPr>
      </w:pPr>
    </w:p>
    <w:p w:rsidR="00AE5388" w:rsidRDefault="00D0762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Группа Компаний </w:t>
      </w:r>
      <w:r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  <w:lang w:val="en-US"/>
        </w:rPr>
        <w:t>Unitile</w:t>
      </w:r>
      <w:r>
        <w:rPr>
          <w:b/>
          <w:bCs/>
          <w:sz w:val="22"/>
          <w:szCs w:val="22"/>
        </w:rPr>
        <w:t xml:space="preserve">» </w:t>
      </w:r>
      <w:r w:rsidR="00BB615C">
        <w:rPr>
          <w:sz w:val="22"/>
          <w:szCs w:val="22"/>
        </w:rPr>
        <w:t xml:space="preserve">– </w:t>
      </w:r>
      <w:r w:rsidR="00BB615C">
        <w:t xml:space="preserve">лидер керамической отрасли, </w:t>
      </w:r>
      <w:r w:rsidR="00BB615C" w:rsidRPr="000D54FF">
        <w:t>ведущий российский производитель строительных и отделочных материалов: керамической плитки, керамогранита, кирпича.</w:t>
      </w:r>
    </w:p>
    <w:p w:rsidR="00AE5388" w:rsidRDefault="00AE5388">
      <w:pPr>
        <w:jc w:val="center"/>
        <w:rPr>
          <w:b/>
          <w:bCs/>
          <w:sz w:val="22"/>
          <w:szCs w:val="22"/>
        </w:rPr>
      </w:pPr>
    </w:p>
    <w:p w:rsidR="00BB615C" w:rsidRDefault="00D07625" w:rsidP="00BB615C">
      <w:pPr>
        <w:jc w:val="center"/>
        <w:rPr>
          <w:b/>
        </w:rPr>
      </w:pPr>
      <w:r>
        <w:rPr>
          <w:sz w:val="22"/>
          <w:szCs w:val="22"/>
        </w:rPr>
        <w:t>Приглашаем вас к участию в тендере на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Оказание услуг по добровольному медицинскому страхованию работников группы компаний «</w:t>
      </w:r>
      <w:r>
        <w:rPr>
          <w:b/>
          <w:bCs/>
          <w:sz w:val="22"/>
          <w:szCs w:val="22"/>
          <w:lang w:val="en-US"/>
        </w:rPr>
        <w:t>Unitile</w:t>
      </w:r>
      <w:r>
        <w:rPr>
          <w:b/>
          <w:bCs/>
          <w:sz w:val="22"/>
          <w:szCs w:val="22"/>
        </w:rPr>
        <w:t>» в период 202</w:t>
      </w:r>
      <w:r w:rsidR="00C31D0A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–202</w:t>
      </w:r>
      <w:r w:rsidR="00C31D0A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гг.</w:t>
      </w:r>
      <w:r w:rsidR="00BB615C">
        <w:rPr>
          <w:b/>
          <w:bCs/>
        </w:rPr>
        <w:t xml:space="preserve"> </w:t>
      </w:r>
      <w:r w:rsidR="00BB615C">
        <w:rPr>
          <w:b/>
        </w:rPr>
        <w:t xml:space="preserve"> для ООО «Шахтинская керамика», ООО «Воронежская керамика», ООО «УК Юнитайл», </w:t>
      </w:r>
    </w:p>
    <w:p w:rsidR="00BB615C" w:rsidRDefault="00BB615C" w:rsidP="00BB615C">
      <w:pPr>
        <w:jc w:val="center"/>
        <w:rPr>
          <w:b/>
        </w:rPr>
      </w:pPr>
      <w:r>
        <w:rPr>
          <w:b/>
        </w:rPr>
        <w:t>ООО «ВКТГ», ООО «Параллель», ООО «Маркинский кирпич».</w:t>
      </w:r>
    </w:p>
    <w:p w:rsidR="00AE5388" w:rsidRDefault="00AE5388">
      <w:pPr>
        <w:jc w:val="both"/>
        <w:rPr>
          <w:sz w:val="22"/>
          <w:szCs w:val="22"/>
        </w:rPr>
      </w:pPr>
    </w:p>
    <w:p w:rsidR="00AE5388" w:rsidRDefault="00AE5388">
      <w:pPr>
        <w:jc w:val="both"/>
        <w:rPr>
          <w:sz w:val="22"/>
          <w:szCs w:val="22"/>
        </w:rPr>
      </w:pPr>
    </w:p>
    <w:p w:rsidR="00AE5388" w:rsidRDefault="00D07625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Основная информация </w:t>
      </w:r>
    </w:p>
    <w:p w:rsidR="00AE5388" w:rsidRDefault="00AE5388">
      <w:pPr>
        <w:jc w:val="both"/>
        <w:rPr>
          <w:sz w:val="22"/>
          <w:szCs w:val="22"/>
        </w:rPr>
      </w:pPr>
    </w:p>
    <w:p w:rsidR="00AE5388" w:rsidRDefault="00E71C61" w:rsidP="007B18ED">
      <w:pPr>
        <w:spacing w:after="120" w:line="360" w:lineRule="auto"/>
        <w:jc w:val="both"/>
        <w:rPr>
          <w:sz w:val="22"/>
          <w:szCs w:val="22"/>
        </w:rPr>
      </w:pPr>
      <w:r w:rsidRPr="00C31D0A">
        <w:rPr>
          <w:sz w:val="22"/>
          <w:szCs w:val="22"/>
        </w:rPr>
        <w:t>Общий б</w:t>
      </w:r>
      <w:r w:rsidR="00D07625" w:rsidRPr="00C31D0A">
        <w:rPr>
          <w:sz w:val="22"/>
          <w:szCs w:val="22"/>
        </w:rPr>
        <w:t xml:space="preserve">юджет, выделяемый на </w:t>
      </w:r>
      <w:r w:rsidR="00A57218" w:rsidRPr="00C31D0A">
        <w:rPr>
          <w:sz w:val="22"/>
          <w:szCs w:val="22"/>
        </w:rPr>
        <w:t>страхование</w:t>
      </w:r>
      <w:r w:rsidR="00D07625" w:rsidRPr="00C31D0A">
        <w:rPr>
          <w:sz w:val="22"/>
          <w:szCs w:val="22"/>
        </w:rPr>
        <w:t xml:space="preserve"> –</w:t>
      </w:r>
      <w:r w:rsidR="00C31D0A" w:rsidRPr="00C31D0A">
        <w:rPr>
          <w:b/>
          <w:sz w:val="22"/>
          <w:szCs w:val="22"/>
        </w:rPr>
        <w:t xml:space="preserve">2 </w:t>
      </w:r>
      <w:r w:rsidR="00A652FC">
        <w:rPr>
          <w:b/>
          <w:sz w:val="22"/>
          <w:szCs w:val="22"/>
        </w:rPr>
        <w:t>810</w:t>
      </w:r>
      <w:r w:rsidR="00C31D0A" w:rsidRPr="00C31D0A">
        <w:rPr>
          <w:b/>
          <w:sz w:val="22"/>
          <w:szCs w:val="22"/>
        </w:rPr>
        <w:t xml:space="preserve"> 000</w:t>
      </w:r>
      <w:r w:rsidR="00D07625" w:rsidRPr="00C31D0A">
        <w:rPr>
          <w:b/>
          <w:sz w:val="22"/>
          <w:szCs w:val="22"/>
        </w:rPr>
        <w:t>,00 руб.</w:t>
      </w:r>
    </w:p>
    <w:p w:rsidR="00E71C61" w:rsidRPr="0040285F" w:rsidRDefault="00D07625" w:rsidP="000E503B">
      <w:pPr>
        <w:spacing w:after="120" w:line="360" w:lineRule="auto"/>
        <w:jc w:val="both"/>
      </w:pPr>
      <w:r>
        <w:rPr>
          <w:sz w:val="22"/>
          <w:szCs w:val="22"/>
        </w:rPr>
        <w:t>Общее ко</w:t>
      </w:r>
      <w:r w:rsidR="00E71C61">
        <w:rPr>
          <w:sz w:val="22"/>
          <w:szCs w:val="22"/>
        </w:rPr>
        <w:t xml:space="preserve">личество работников, подлежащих страхованию по программе «Депозит» </w:t>
      </w:r>
      <w:r>
        <w:rPr>
          <w:sz w:val="22"/>
          <w:szCs w:val="22"/>
        </w:rPr>
        <w:t>–</w:t>
      </w:r>
      <w:r w:rsidR="003F484D">
        <w:rPr>
          <w:b/>
          <w:sz w:val="22"/>
          <w:szCs w:val="22"/>
        </w:rPr>
        <w:t>2</w:t>
      </w:r>
      <w:r w:rsidR="00C31D0A">
        <w:rPr>
          <w:b/>
          <w:sz w:val="22"/>
          <w:szCs w:val="22"/>
        </w:rPr>
        <w:t>3</w:t>
      </w:r>
      <w:r w:rsidR="003C58DA">
        <w:rPr>
          <w:b/>
          <w:sz w:val="22"/>
          <w:szCs w:val="22"/>
        </w:rPr>
        <w:t>5</w:t>
      </w:r>
      <w:r w:rsidR="003F484D">
        <w:rPr>
          <w:b/>
          <w:sz w:val="22"/>
          <w:szCs w:val="22"/>
        </w:rPr>
        <w:t>0</w:t>
      </w:r>
      <w:r w:rsidR="00E71C61" w:rsidRPr="007B18ED">
        <w:rPr>
          <w:b/>
          <w:sz w:val="22"/>
          <w:szCs w:val="22"/>
        </w:rPr>
        <w:t xml:space="preserve"> человек</w:t>
      </w:r>
      <w:r w:rsidR="000E503B">
        <w:rPr>
          <w:b/>
          <w:sz w:val="22"/>
          <w:szCs w:val="22"/>
        </w:rPr>
        <w:t xml:space="preserve">, в том числе </w:t>
      </w:r>
      <w:r w:rsidR="00E71C61" w:rsidRPr="007B18ED">
        <w:t>ТОП менеджмент –</w:t>
      </w:r>
      <w:r w:rsidR="00E71C61" w:rsidRPr="00451B41">
        <w:rPr>
          <w:b/>
        </w:rPr>
        <w:t>1</w:t>
      </w:r>
      <w:r w:rsidR="0040285F" w:rsidRPr="00451B41">
        <w:rPr>
          <w:b/>
        </w:rPr>
        <w:t>2</w:t>
      </w:r>
      <w:r w:rsidR="00E71C61" w:rsidRPr="00451B41">
        <w:rPr>
          <w:b/>
        </w:rPr>
        <w:t xml:space="preserve"> человек.</w:t>
      </w:r>
    </w:p>
    <w:p w:rsidR="0040285F" w:rsidRDefault="00682D55" w:rsidP="00682D55">
      <w:pPr>
        <w:spacing w:after="120" w:line="360" w:lineRule="auto"/>
      </w:pPr>
      <w:r>
        <w:t xml:space="preserve">Программа страхования «Риск» для </w:t>
      </w:r>
      <w:r w:rsidR="0040285F">
        <w:t>ТОП менеджмент</w:t>
      </w:r>
      <w:r>
        <w:t>а</w:t>
      </w:r>
      <w:r w:rsidR="0040285F">
        <w:t xml:space="preserve"> - </w:t>
      </w:r>
      <w:r w:rsidR="0077362B">
        <w:t>8</w:t>
      </w:r>
      <w:bookmarkStart w:id="0" w:name="_GoBack"/>
      <w:bookmarkEnd w:id="0"/>
      <w:r w:rsidR="0040285F">
        <w:t xml:space="preserve"> человек</w:t>
      </w:r>
      <w:r w:rsidR="00451B41">
        <w:t>, в т.ч.:</w:t>
      </w:r>
    </w:p>
    <w:tbl>
      <w:tblPr>
        <w:tblW w:w="9874" w:type="dxa"/>
        <w:tblLook w:val="04A0" w:firstRow="1" w:lastRow="0" w:firstColumn="1" w:lastColumn="0" w:noHBand="0" w:noVBand="1"/>
      </w:tblPr>
      <w:tblGrid>
        <w:gridCol w:w="503"/>
        <w:gridCol w:w="7570"/>
        <w:gridCol w:w="1801"/>
      </w:tblGrid>
      <w:tr w:rsidR="003A06C7" w:rsidTr="003A06C7">
        <w:trPr>
          <w:trHeight w:val="28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7" w:rsidRDefault="003A0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7" w:rsidRPr="008D2BB2" w:rsidRDefault="000E503B" w:rsidP="008D2BB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D2B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54275B" w:rsidRPr="008D2B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пакет</w:t>
            </w:r>
            <w:r w:rsidRPr="008D2B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ов</w:t>
            </w:r>
            <w:r w:rsidR="0054275B" w:rsidRPr="008D2B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услуг по программе страхования «Риск» для топ-менеджмента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7" w:rsidRPr="008D2BB2" w:rsidRDefault="003A06C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D2B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Стоимость, руб.</w:t>
            </w:r>
          </w:p>
        </w:tc>
      </w:tr>
      <w:tr w:rsidR="003A06C7" w:rsidTr="003A06C7">
        <w:trPr>
          <w:trHeight w:val="2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7" w:rsidRDefault="003A06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7" w:rsidRDefault="003A0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Поликлиника + вызов врача на дом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C7" w:rsidRDefault="003A0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6C7" w:rsidTr="003A06C7">
        <w:trPr>
          <w:trHeight w:val="2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7" w:rsidRDefault="003A06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7" w:rsidRDefault="003A0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Поликлиника + вызов врача + Скорая + Стационар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C7" w:rsidRDefault="003A0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6C7" w:rsidTr="003A06C7">
        <w:trPr>
          <w:trHeight w:val="2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7" w:rsidRDefault="003A06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7" w:rsidRDefault="003A0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Поликлиника + вызов врача+ Стоматология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C7" w:rsidRDefault="003A0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06C7" w:rsidTr="003A06C7">
        <w:trPr>
          <w:trHeight w:val="2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7" w:rsidRDefault="003A06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7" w:rsidRDefault="003A0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Поликлиника +  вызов врача + Стоматология + Скорая + Стационар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6C7" w:rsidRDefault="003A06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D2BB2" w:rsidRDefault="008D2BB2" w:rsidP="00682D55">
      <w:pPr>
        <w:spacing w:after="120" w:line="360" w:lineRule="auto"/>
      </w:pPr>
      <w:r>
        <w:t xml:space="preserve">Перечень приоритетных клиник указан в Тех задании к Приглашению. </w:t>
      </w:r>
    </w:p>
    <w:p w:rsidR="00E71C61" w:rsidRPr="00682D55" w:rsidRDefault="00A57218" w:rsidP="00682D55">
      <w:pPr>
        <w:spacing w:after="120" w:line="360" w:lineRule="auto"/>
        <w:rPr>
          <w:b/>
        </w:rPr>
      </w:pPr>
      <w:r>
        <w:t>Количество работников,</w:t>
      </w:r>
      <w:r w:rsidR="00E71C61" w:rsidRPr="00E71C61">
        <w:t xml:space="preserve"> подлежащих страхованию</w:t>
      </w:r>
      <w:r w:rsidR="00E71C61">
        <w:t xml:space="preserve"> по </w:t>
      </w:r>
      <w:r w:rsidR="00E71C61" w:rsidRPr="00682D55">
        <w:t>программе «Несчастный</w:t>
      </w:r>
      <w:r w:rsidR="00E71C61">
        <w:t xml:space="preserve"> случай»</w:t>
      </w:r>
      <w:r w:rsidR="00E71C61" w:rsidRPr="00E71C61">
        <w:t xml:space="preserve"> – </w:t>
      </w:r>
      <w:r w:rsidR="00E71C61" w:rsidRPr="00682D55">
        <w:rPr>
          <w:b/>
        </w:rPr>
        <w:t>1500 человек.</w:t>
      </w:r>
    </w:p>
    <w:p w:rsidR="00AE5388" w:rsidRDefault="00D07625">
      <w:pPr>
        <w:tabs>
          <w:tab w:val="left" w:pos="5778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Обязательные требования</w:t>
      </w:r>
    </w:p>
    <w:p w:rsidR="00AE5388" w:rsidRDefault="00AE5388">
      <w:pPr>
        <w:tabs>
          <w:tab w:val="left" w:pos="5778"/>
        </w:tabs>
        <w:jc w:val="center"/>
        <w:rPr>
          <w:sz w:val="22"/>
          <w:szCs w:val="22"/>
          <w:u w:val="single"/>
        </w:rPr>
      </w:pPr>
    </w:p>
    <w:p w:rsidR="00AE5388" w:rsidRDefault="00D07625">
      <w:pPr>
        <w:tabs>
          <w:tab w:val="left" w:pos="5778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1. Период оказания услуг – с </w:t>
      </w:r>
      <w:r w:rsidR="00685C1A">
        <w:rPr>
          <w:sz w:val="22"/>
          <w:szCs w:val="22"/>
        </w:rPr>
        <w:t>апреля</w:t>
      </w:r>
      <w:r w:rsidR="005B71D5">
        <w:rPr>
          <w:sz w:val="22"/>
          <w:szCs w:val="22"/>
        </w:rPr>
        <w:t xml:space="preserve"> 202</w:t>
      </w:r>
      <w:r w:rsidR="00C31D0A">
        <w:rPr>
          <w:sz w:val="22"/>
          <w:szCs w:val="22"/>
        </w:rPr>
        <w:t>5</w:t>
      </w:r>
      <w:r>
        <w:rPr>
          <w:sz w:val="22"/>
          <w:szCs w:val="22"/>
        </w:rPr>
        <w:t xml:space="preserve"> г. по </w:t>
      </w:r>
      <w:r w:rsidR="00685C1A">
        <w:rPr>
          <w:sz w:val="22"/>
          <w:szCs w:val="22"/>
        </w:rPr>
        <w:t xml:space="preserve">апрель </w:t>
      </w:r>
      <w:r>
        <w:rPr>
          <w:sz w:val="22"/>
          <w:szCs w:val="22"/>
        </w:rPr>
        <w:t>202</w:t>
      </w:r>
      <w:r w:rsidR="00C31D0A">
        <w:rPr>
          <w:sz w:val="22"/>
          <w:szCs w:val="22"/>
        </w:rPr>
        <w:t>6</w:t>
      </w:r>
      <w:r>
        <w:rPr>
          <w:sz w:val="22"/>
          <w:szCs w:val="22"/>
        </w:rPr>
        <w:t xml:space="preserve"> г. </w:t>
      </w:r>
      <w:r>
        <w:rPr>
          <w:color w:val="000000"/>
          <w:sz w:val="22"/>
          <w:szCs w:val="22"/>
        </w:rPr>
        <w:t>(срок действия договора 1 год).</w:t>
      </w:r>
    </w:p>
    <w:p w:rsidR="00AE5388" w:rsidRDefault="00AE5388">
      <w:pPr>
        <w:tabs>
          <w:tab w:val="left" w:pos="5778"/>
        </w:tabs>
        <w:rPr>
          <w:sz w:val="22"/>
          <w:szCs w:val="22"/>
        </w:rPr>
      </w:pPr>
    </w:p>
    <w:p w:rsidR="00AE5388" w:rsidRDefault="00D07625">
      <w:pPr>
        <w:tabs>
          <w:tab w:val="left" w:pos="5778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2. Предоставление коммерческих предложений согласно представленной ниже формы.</w:t>
      </w:r>
    </w:p>
    <w:p w:rsidR="00AE5388" w:rsidRDefault="00AE5388">
      <w:pPr>
        <w:tabs>
          <w:tab w:val="left" w:pos="5778"/>
        </w:tabs>
        <w:rPr>
          <w:sz w:val="22"/>
          <w:szCs w:val="22"/>
        </w:rPr>
      </w:pPr>
    </w:p>
    <w:p w:rsidR="00AE5388" w:rsidRDefault="00AE5388">
      <w:pPr>
        <w:rPr>
          <w:b/>
          <w:sz w:val="22"/>
          <w:szCs w:val="22"/>
        </w:rPr>
      </w:pPr>
    </w:p>
    <w:p w:rsidR="00AE5388" w:rsidRDefault="00D07625">
      <w:pPr>
        <w:pStyle w:val="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Просим Вас прислать коммерческое предложение на каждую компанию по следующей форме: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3784"/>
        <w:gridCol w:w="3784"/>
        <w:gridCol w:w="1929"/>
      </w:tblGrid>
      <w:tr w:rsidR="00AE5388">
        <w:trPr>
          <w:trHeight w:val="20"/>
        </w:trPr>
        <w:tc>
          <w:tcPr>
            <w:tcW w:w="698" w:type="dxa"/>
          </w:tcPr>
          <w:p w:rsidR="00AE5388" w:rsidRDefault="00D0762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№№</w:t>
            </w:r>
          </w:p>
          <w:p w:rsidR="00AE5388" w:rsidRDefault="00D0762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9497" w:type="dxa"/>
            <w:gridSpan w:val="3"/>
          </w:tcPr>
          <w:p w:rsidR="00AE5388" w:rsidRDefault="00D0762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Показатель</w:t>
            </w:r>
          </w:p>
        </w:tc>
      </w:tr>
      <w:tr w:rsidR="00AE5388">
        <w:trPr>
          <w:trHeight w:val="692"/>
        </w:trPr>
        <w:tc>
          <w:tcPr>
            <w:tcW w:w="698" w:type="dxa"/>
            <w:vAlign w:val="center"/>
          </w:tcPr>
          <w:p w:rsidR="00AE5388" w:rsidRDefault="00D0762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8" w:type="dxa"/>
            <w:gridSpan w:val="2"/>
          </w:tcPr>
          <w:p w:rsidR="00AE5388" w:rsidRDefault="00D07625" w:rsidP="00C31D0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Возможность оказания услуг в период с  </w:t>
            </w:r>
            <w:r w:rsidR="00685C1A">
              <w:rPr>
                <w:b/>
                <w:sz w:val="22"/>
                <w:szCs w:val="22"/>
                <w:u w:val="single"/>
              </w:rPr>
              <w:t xml:space="preserve">апреля </w:t>
            </w:r>
            <w:r>
              <w:rPr>
                <w:b/>
                <w:sz w:val="22"/>
                <w:szCs w:val="22"/>
                <w:u w:val="single"/>
              </w:rPr>
              <w:t>202</w:t>
            </w:r>
            <w:r w:rsidR="00C31D0A">
              <w:rPr>
                <w:b/>
                <w:sz w:val="22"/>
                <w:szCs w:val="22"/>
                <w:u w:val="single"/>
              </w:rPr>
              <w:t>5</w:t>
            </w:r>
            <w:r>
              <w:rPr>
                <w:b/>
                <w:sz w:val="22"/>
                <w:szCs w:val="22"/>
                <w:u w:val="single"/>
              </w:rPr>
              <w:t xml:space="preserve"> г. по </w:t>
            </w:r>
            <w:r w:rsidR="00685C1A">
              <w:rPr>
                <w:b/>
                <w:sz w:val="22"/>
                <w:szCs w:val="22"/>
                <w:u w:val="single"/>
              </w:rPr>
              <w:t xml:space="preserve">апрель </w:t>
            </w:r>
            <w:r>
              <w:rPr>
                <w:b/>
                <w:sz w:val="22"/>
                <w:szCs w:val="22"/>
                <w:u w:val="single"/>
              </w:rPr>
              <w:t>202</w:t>
            </w:r>
            <w:r w:rsidR="00C31D0A">
              <w:rPr>
                <w:b/>
                <w:sz w:val="22"/>
                <w:szCs w:val="22"/>
                <w:u w:val="single"/>
              </w:rPr>
              <w:t>6</w:t>
            </w:r>
            <w:r>
              <w:rPr>
                <w:b/>
                <w:sz w:val="22"/>
                <w:szCs w:val="22"/>
                <w:u w:val="single"/>
              </w:rPr>
              <w:t xml:space="preserve"> г.</w:t>
            </w:r>
          </w:p>
        </w:tc>
        <w:tc>
          <w:tcPr>
            <w:tcW w:w="1929" w:type="dxa"/>
          </w:tcPr>
          <w:p w:rsidR="00AE5388" w:rsidRDefault="00D0762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AE5388">
        <w:trPr>
          <w:trHeight w:val="701"/>
        </w:trPr>
        <w:tc>
          <w:tcPr>
            <w:tcW w:w="698" w:type="dxa"/>
            <w:vAlign w:val="center"/>
          </w:tcPr>
          <w:p w:rsidR="00AE5388" w:rsidRDefault="00D0762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68" w:type="dxa"/>
            <w:gridSpan w:val="2"/>
          </w:tcPr>
          <w:p w:rsidR="00AE5388" w:rsidRDefault="00D07625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Стоимость пакета ДМС (наименование и содержание)</w:t>
            </w:r>
          </w:p>
        </w:tc>
        <w:tc>
          <w:tcPr>
            <w:tcW w:w="1929" w:type="dxa"/>
          </w:tcPr>
          <w:p w:rsidR="00AE5388" w:rsidRDefault="00D0762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стоимость пакета на 1 человека (руб.)</w:t>
            </w:r>
          </w:p>
        </w:tc>
      </w:tr>
      <w:tr w:rsidR="00AE5388">
        <w:trPr>
          <w:trHeight w:val="20"/>
        </w:trPr>
        <w:tc>
          <w:tcPr>
            <w:tcW w:w="698" w:type="dxa"/>
            <w:vAlign w:val="center"/>
          </w:tcPr>
          <w:p w:rsidR="00AE5388" w:rsidRDefault="00D0762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568" w:type="dxa"/>
            <w:gridSpan w:val="2"/>
          </w:tcPr>
          <w:p w:rsidR="00AE5388" w:rsidRDefault="00AD1538" w:rsidP="00AD1538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 для работников </w:t>
            </w:r>
          </w:p>
        </w:tc>
        <w:tc>
          <w:tcPr>
            <w:tcW w:w="1929" w:type="dxa"/>
          </w:tcPr>
          <w:p w:rsidR="00AE5388" w:rsidRDefault="00AE538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Pr="00950856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0856">
              <w:rPr>
                <w:rFonts w:ascii="Times New Roman" w:hAnsi="Times New Roman"/>
              </w:rPr>
              <w:t>2.2</w:t>
            </w:r>
          </w:p>
        </w:tc>
        <w:tc>
          <w:tcPr>
            <w:tcW w:w="7568" w:type="dxa"/>
            <w:gridSpan w:val="2"/>
          </w:tcPr>
          <w:p w:rsidR="008D2BB2" w:rsidRPr="00950856" w:rsidRDefault="008D2BB2" w:rsidP="008D2B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50856">
              <w:rPr>
                <w:rFonts w:eastAsia="Calibri"/>
                <w:sz w:val="22"/>
                <w:szCs w:val="22"/>
                <w:lang w:eastAsia="en-US"/>
              </w:rPr>
              <w:t xml:space="preserve">Программа страхования для ТОП-менеджеров </w:t>
            </w:r>
            <w:r>
              <w:rPr>
                <w:rFonts w:eastAsia="Calibri"/>
                <w:sz w:val="22"/>
                <w:szCs w:val="22"/>
                <w:lang w:eastAsia="en-US"/>
              </w:rPr>
              <w:t>(рисковый</w:t>
            </w:r>
            <w:r w:rsidRPr="00950856">
              <w:rPr>
                <w:rFonts w:eastAsia="Calibri"/>
                <w:sz w:val="22"/>
                <w:szCs w:val="22"/>
                <w:lang w:eastAsia="en-US"/>
              </w:rPr>
              <w:t xml:space="preserve"> ДМС)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Pr="00950856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0856">
              <w:rPr>
                <w:rFonts w:ascii="Times New Roman" w:hAnsi="Times New Roman"/>
              </w:rPr>
              <w:t>2.3</w:t>
            </w:r>
          </w:p>
        </w:tc>
        <w:tc>
          <w:tcPr>
            <w:tcW w:w="7568" w:type="dxa"/>
            <w:gridSpan w:val="2"/>
          </w:tcPr>
          <w:p w:rsidR="008D2BB2" w:rsidRPr="00950856" w:rsidRDefault="008D2BB2" w:rsidP="008D2BB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50856">
              <w:rPr>
                <w:sz w:val="22"/>
                <w:szCs w:val="22"/>
              </w:rPr>
              <w:t>Программа страхования «Несчастный случай»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Стоимость сопровождения договора страховой компанией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%:</w:t>
            </w:r>
          </w:p>
          <w:p w:rsidR="008D2BB2" w:rsidRDefault="008D2BB2" w:rsidP="008D2BB2">
            <w:pPr>
              <w:jc w:val="center"/>
              <w:rPr>
                <w:sz w:val="22"/>
                <w:szCs w:val="22"/>
              </w:rPr>
            </w:pP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Рейтинг надежности страховой компании 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Указать:</w:t>
            </w:r>
          </w:p>
          <w:p w:rsidR="008D2BB2" w:rsidRDefault="008D2BB2" w:rsidP="008D2BB2">
            <w:pPr>
              <w:jc w:val="center"/>
              <w:rPr>
                <w:sz w:val="22"/>
                <w:szCs w:val="22"/>
              </w:rPr>
            </w:pP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Опыт работы на рынке оказания услуг ДМС (желательно не менее 10 лет)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Указать:</w:t>
            </w:r>
          </w:p>
          <w:p w:rsidR="008D2BB2" w:rsidRDefault="008D2BB2" w:rsidP="008D2BB2">
            <w:pPr>
              <w:jc w:val="center"/>
              <w:rPr>
                <w:sz w:val="22"/>
                <w:szCs w:val="22"/>
              </w:rPr>
            </w:pP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Наличие развитой федеральной/региональной сети страховой компании</w:t>
            </w:r>
          </w:p>
        </w:tc>
        <w:tc>
          <w:tcPr>
            <w:tcW w:w="1929" w:type="dxa"/>
          </w:tcPr>
          <w:p w:rsidR="008D2BB2" w:rsidRDefault="008D2BB2" w:rsidP="008D2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Подтвердить: Да/Нет</w:t>
            </w:r>
          </w:p>
        </w:tc>
      </w:tr>
      <w:tr w:rsidR="008D2BB2">
        <w:trPr>
          <w:trHeight w:val="572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Список обязательных ЛПУ для застрахованных сотрудников: 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8D2BB2">
        <w:trPr>
          <w:trHeight w:val="572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ГУЗ «Центр восстановительной медицины и реабилитации № 2» Ростовской области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Шахты, пер. Дубинина, д. 4 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D2BB2">
        <w:trPr>
          <w:trHeight w:val="572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Лечебно-диагностический центр «ВАШ ДОКТОР»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Шахты, ул. Шевченко, 153Г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D2BB2">
        <w:trPr>
          <w:trHeight w:val="572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Клиника Эксперт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Шахты, пр. Пушкина, 12,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D2BB2">
        <w:trPr>
          <w:trHeight w:val="572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Мрт Плюс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Каменоломни, Садовый пер., 52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D2BB2">
        <w:trPr>
          <w:trHeight w:val="572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МБУЗ ЦРБ Октябрьского района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 Каменоломни, Садовый пер., 23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D2BB2">
        <w:trPr>
          <w:trHeight w:val="572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лаборатория INVITRO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D2BB2" w:rsidRPr="00A57218" w:rsidRDefault="008D2BB2" w:rsidP="008D2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Шахты, ул. Советская, 184</w:t>
            </w:r>
            <w:r w:rsidRPr="00A57218">
              <w:rPr>
                <w:sz w:val="22"/>
                <w:szCs w:val="22"/>
              </w:rPr>
              <w:t xml:space="preserve"> </w:t>
            </w:r>
          </w:p>
          <w:p w:rsidR="008D2BB2" w:rsidRPr="00A57218" w:rsidRDefault="008D2BB2" w:rsidP="008D2BB2">
            <w:pPr>
              <w:shd w:val="clear" w:color="auto" w:fill="FFFFFF"/>
              <w:rPr>
                <w:sz w:val="22"/>
                <w:szCs w:val="22"/>
              </w:rPr>
            </w:pPr>
            <w:r w:rsidRPr="00A57218">
              <w:rPr>
                <w:sz w:val="22"/>
                <w:szCs w:val="22"/>
              </w:rPr>
              <w:t>п. Каменоломни,  </w:t>
            </w:r>
          </w:p>
          <w:p w:rsidR="008D2BB2" w:rsidRPr="00A57218" w:rsidRDefault="008D2BB2" w:rsidP="008D2BB2">
            <w:pPr>
              <w:shd w:val="clear" w:color="auto" w:fill="FFFFFF"/>
              <w:rPr>
                <w:sz w:val="22"/>
                <w:szCs w:val="22"/>
              </w:rPr>
            </w:pPr>
            <w:r w:rsidRPr="00A57218">
              <w:rPr>
                <w:sz w:val="22"/>
                <w:szCs w:val="22"/>
              </w:rPr>
              <w:t>ул. Крупской, 59А,</w:t>
            </w:r>
          </w:p>
          <w:p w:rsidR="008D2BB2" w:rsidRDefault="008D2BB2" w:rsidP="008D2BB2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48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68" w:type="dxa"/>
            <w:gridSpan w:val="2"/>
            <w:shd w:val="clear" w:color="auto" w:fill="auto"/>
            <w:vAlign w:val="center"/>
          </w:tcPr>
          <w:p w:rsidR="008D2BB2" w:rsidRDefault="008D2BB2" w:rsidP="008D2BB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Список ЛПУ для застрахованных сотрудников: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список</w:t>
            </w:r>
          </w:p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48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68" w:type="dxa"/>
            <w:gridSpan w:val="2"/>
            <w:shd w:val="clear" w:color="auto" w:fill="auto"/>
            <w:vAlign w:val="bottom"/>
          </w:tcPr>
          <w:p w:rsidR="008D2BB2" w:rsidRDefault="008D2BB2" w:rsidP="008D2BB2">
            <w:pPr>
              <w:tabs>
                <w:tab w:val="left" w:pos="1089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Ежемесячное предоставление остатков по договорам по программам «Депозит» и «Несчастный случай»; время рассмотрения запроса не более 2 (двух) дней.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Возможность круглосуточного взаимодействия с врачом коллектива и административным куратором коллектива; время рассмотрения запроса не более 6 (шести) часов.</w:t>
            </w:r>
          </w:p>
          <w:p w:rsidR="008D2BB2" w:rsidRDefault="008D2BB2" w:rsidP="008D2BB2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Стоимость услуг устанавливается на весь период действия договора страхования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Страховая премия оплачивается Заказчиком безналичными платежами (указать предпочтительный график оплаты)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Обеспечение оформления и замены полиса ДМС по гарантийному письму, электронное предоставление полисов для каждого сотрудника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8D2BB2">
        <w:trPr>
          <w:trHeight w:val="556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Предоставление пакета коллективного страхования ДМС по программе «Несчастный случай» 24 часа</w:t>
            </w:r>
          </w:p>
        </w:tc>
        <w:tc>
          <w:tcPr>
            <w:tcW w:w="1929" w:type="dxa"/>
          </w:tcPr>
          <w:p w:rsidR="008D2BB2" w:rsidRDefault="008D2BB2" w:rsidP="008D2BB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Подтвердить: Да/Нет</w:t>
            </w: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Предоставление таблицы возможных «НС» с просчетом % выплат за страховой случай</w:t>
            </w:r>
          </w:p>
        </w:tc>
        <w:tc>
          <w:tcPr>
            <w:tcW w:w="1929" w:type="dxa"/>
          </w:tcPr>
          <w:p w:rsidR="008D2BB2" w:rsidRDefault="008D2BB2" w:rsidP="008D2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Предоставить список</w:t>
            </w: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Возможность оплаты 50 % от стоимости медицинских услуг лечебному центру в рамках полиса ДМС</w:t>
            </w:r>
          </w:p>
        </w:tc>
        <w:tc>
          <w:tcPr>
            <w:tcW w:w="1929" w:type="dxa"/>
          </w:tcPr>
          <w:p w:rsidR="008D2BB2" w:rsidRDefault="008D2BB2" w:rsidP="008D2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Подтвердить: Да/Нет</w:t>
            </w: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 w:rsidRPr="00CD240C">
              <w:rPr>
                <w:b/>
                <w:sz w:val="22"/>
                <w:szCs w:val="22"/>
                <w:u w:val="single"/>
                <w:lang w:eastAsia="en-US"/>
              </w:rPr>
              <w:t>Возможность возврата денежных средств по результатам пройденных медицинских обследований застрахованным</w:t>
            </w:r>
          </w:p>
        </w:tc>
        <w:tc>
          <w:tcPr>
            <w:tcW w:w="1929" w:type="dxa"/>
          </w:tcPr>
          <w:p w:rsidR="008D2BB2" w:rsidRDefault="008D2BB2" w:rsidP="008D2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Подтвердить: Да/Нет</w:t>
            </w:r>
          </w:p>
        </w:tc>
      </w:tr>
      <w:tr w:rsidR="008D2BB2">
        <w:trPr>
          <w:trHeight w:val="20"/>
        </w:trPr>
        <w:tc>
          <w:tcPr>
            <w:tcW w:w="698" w:type="dxa"/>
            <w:vAlign w:val="center"/>
          </w:tcPr>
          <w:p w:rsidR="008D2BB2" w:rsidRDefault="008D2BB2" w:rsidP="008D2BB2">
            <w:pPr>
              <w:pStyle w:val="af"/>
              <w:spacing w:after="0" w:line="72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568" w:type="dxa"/>
            <w:gridSpan w:val="2"/>
          </w:tcPr>
          <w:p w:rsidR="008D2BB2" w:rsidRDefault="008D2BB2" w:rsidP="008D2BB2">
            <w:pPr>
              <w:tabs>
                <w:tab w:val="left" w:pos="1089"/>
              </w:tabs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Наличие действующих договоров с основными медицинскими учреждениями г. Шахты и РП Каменоломни</w:t>
            </w:r>
          </w:p>
        </w:tc>
        <w:tc>
          <w:tcPr>
            <w:tcW w:w="1929" w:type="dxa"/>
          </w:tcPr>
          <w:p w:rsidR="008D2BB2" w:rsidRDefault="008D2BB2" w:rsidP="008D2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Подтвердить: Да/Нет</w:t>
            </w:r>
          </w:p>
        </w:tc>
      </w:tr>
    </w:tbl>
    <w:p w:rsidR="00AE5388" w:rsidRDefault="00AE5388">
      <w:pPr>
        <w:ind w:right="283"/>
        <w:jc w:val="both"/>
        <w:rPr>
          <w:sz w:val="22"/>
          <w:szCs w:val="22"/>
        </w:rPr>
      </w:pPr>
    </w:p>
    <w:p w:rsidR="00AE5388" w:rsidRDefault="00F81740">
      <w:pPr>
        <w:jc w:val="both"/>
        <w:rPr>
          <w:sz w:val="22"/>
          <w:szCs w:val="22"/>
        </w:rPr>
      </w:pPr>
      <w:r w:rsidRPr="00F81740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6F121A">
          <w:rPr>
            <w:rStyle w:val="aa"/>
            <w:sz w:val="22"/>
            <w:szCs w:val="22"/>
          </w:rPr>
          <w:t>www.b2b-center.ru</w:t>
        </w:r>
      </w:hyperlink>
      <w:r w:rsidRPr="00F81740">
        <w:rPr>
          <w:sz w:val="22"/>
          <w:szCs w:val="22"/>
        </w:rPr>
        <w:t xml:space="preserve">, присланные до </w:t>
      </w:r>
      <w:r>
        <w:rPr>
          <w:sz w:val="22"/>
          <w:szCs w:val="22"/>
        </w:rPr>
        <w:t>28</w:t>
      </w:r>
      <w:r w:rsidRPr="00F81740">
        <w:rPr>
          <w:sz w:val="22"/>
          <w:szCs w:val="22"/>
        </w:rPr>
        <w:t>.04.2025 г., до 15:00.</w:t>
      </w:r>
    </w:p>
    <w:p w:rsidR="00F81740" w:rsidRDefault="00F81740">
      <w:pPr>
        <w:jc w:val="both"/>
        <w:rPr>
          <w:sz w:val="22"/>
          <w:szCs w:val="22"/>
        </w:rPr>
      </w:pPr>
    </w:p>
    <w:p w:rsidR="00AE5388" w:rsidRDefault="00F8174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Просим Вас при обращении указывать в теме письма</w:t>
      </w:r>
      <w:r w:rsidR="00D07625">
        <w:rPr>
          <w:sz w:val="22"/>
          <w:szCs w:val="22"/>
        </w:rPr>
        <w:t>:</w:t>
      </w:r>
      <w:r w:rsidR="004117F8" w:rsidRPr="004117F8">
        <w:rPr>
          <w:b/>
        </w:rPr>
        <w:t xml:space="preserve"> </w:t>
      </w:r>
      <w:r w:rsidR="004117F8">
        <w:rPr>
          <w:b/>
        </w:rPr>
        <w:t>Tender-</w:t>
      </w:r>
      <w:r w:rsidRPr="00F81740">
        <w:rPr>
          <w:b/>
        </w:rPr>
        <w:t>35946</w:t>
      </w:r>
      <w:r w:rsidR="004117F8">
        <w:rPr>
          <w:b/>
        </w:rPr>
        <w:t xml:space="preserve"> </w:t>
      </w:r>
      <w:r>
        <w:rPr>
          <w:b/>
        </w:rPr>
        <w:t>«ДМС»</w:t>
      </w:r>
    </w:p>
    <w:p w:rsidR="00AE5388" w:rsidRDefault="00AE5388">
      <w:pPr>
        <w:jc w:val="both"/>
        <w:rPr>
          <w:b/>
          <w:sz w:val="22"/>
          <w:szCs w:val="22"/>
        </w:rPr>
      </w:pPr>
    </w:p>
    <w:p w:rsidR="00AE5388" w:rsidRDefault="00D07625">
      <w:pPr>
        <w:jc w:val="both"/>
        <w:rPr>
          <w:sz w:val="22"/>
          <w:szCs w:val="22"/>
        </w:rPr>
      </w:pPr>
      <w:r>
        <w:rPr>
          <w:sz w:val="22"/>
          <w:szCs w:val="22"/>
        </w:rP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AE5388" w:rsidRDefault="00AE5388">
      <w:pPr>
        <w:jc w:val="both"/>
        <w:rPr>
          <w:sz w:val="22"/>
          <w:szCs w:val="22"/>
        </w:rPr>
      </w:pPr>
    </w:p>
    <w:p w:rsidR="00AE5388" w:rsidRDefault="00D07625">
      <w:pPr>
        <w:jc w:val="both"/>
      </w:pPr>
      <w:r>
        <w:rPr>
          <w:sz w:val="22"/>
          <w:szCs w:val="22"/>
        </w:rPr>
        <w:t xml:space="preserve">Контактный тел. (по техническим вопросам): +7 (8636) 26-83-88, доб. 41-66 – Луганцева Э.И. – </w:t>
      </w:r>
      <w:hyperlink r:id="rId9" w:history="1">
        <w:r>
          <w:rPr>
            <w:rStyle w:val="aa"/>
          </w:rPr>
          <w:t>elvira.lugantseva@unitile.ru</w:t>
        </w:r>
      </w:hyperlink>
    </w:p>
    <w:p w:rsidR="00AE5388" w:rsidRDefault="00AE5388">
      <w:pPr>
        <w:jc w:val="both"/>
        <w:rPr>
          <w:sz w:val="22"/>
          <w:szCs w:val="22"/>
        </w:rPr>
      </w:pPr>
    </w:p>
    <w:p w:rsidR="004117F8" w:rsidRDefault="004117F8">
      <w:pPr>
        <w:jc w:val="both"/>
        <w:rPr>
          <w:sz w:val="22"/>
          <w:szCs w:val="22"/>
        </w:rPr>
      </w:pPr>
    </w:p>
    <w:p w:rsidR="004117F8" w:rsidRDefault="004117F8">
      <w:pPr>
        <w:jc w:val="both"/>
        <w:rPr>
          <w:sz w:val="22"/>
          <w:szCs w:val="22"/>
        </w:rPr>
      </w:pPr>
    </w:p>
    <w:p w:rsidR="004117F8" w:rsidRDefault="004117F8">
      <w:pPr>
        <w:jc w:val="both"/>
        <w:rPr>
          <w:sz w:val="22"/>
          <w:szCs w:val="22"/>
        </w:rPr>
      </w:pPr>
    </w:p>
    <w:p w:rsidR="00AE5388" w:rsidRDefault="00AE5388">
      <w:pPr>
        <w:jc w:val="both"/>
        <w:rPr>
          <w:b/>
          <w:sz w:val="22"/>
          <w:szCs w:val="22"/>
        </w:rPr>
      </w:pPr>
    </w:p>
    <w:p w:rsidR="00AE5388" w:rsidRDefault="00D0762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Директор по </w:t>
      </w:r>
      <w:r w:rsidR="00C31D0A">
        <w:rPr>
          <w:b/>
          <w:sz w:val="22"/>
          <w:szCs w:val="22"/>
        </w:rPr>
        <w:t xml:space="preserve">организационному развитию и </w:t>
      </w:r>
      <w:r>
        <w:rPr>
          <w:b/>
          <w:sz w:val="22"/>
          <w:szCs w:val="22"/>
        </w:rPr>
        <w:t>персоналу</w:t>
      </w:r>
      <w:r>
        <w:rPr>
          <w:b/>
          <w:sz w:val="22"/>
          <w:szCs w:val="22"/>
        </w:rPr>
        <w:tab/>
      </w:r>
      <w:r w:rsidR="008E625F">
        <w:rPr>
          <w:b/>
          <w:sz w:val="22"/>
          <w:szCs w:val="22"/>
        </w:rPr>
        <w:t>___________</w:t>
      </w:r>
      <w:r w:rsidR="008E625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C31D0A">
        <w:rPr>
          <w:b/>
          <w:sz w:val="22"/>
          <w:szCs w:val="22"/>
        </w:rPr>
        <w:t>Гаврилина Ю.В.</w:t>
      </w:r>
    </w:p>
    <w:p w:rsidR="00AE5388" w:rsidRDefault="00AE5388">
      <w:pPr>
        <w:rPr>
          <w:sz w:val="22"/>
          <w:szCs w:val="22"/>
        </w:rPr>
      </w:pPr>
    </w:p>
    <w:sectPr w:rsidR="00AE5388">
      <w:pgSz w:w="11906" w:h="16838" w:code="9"/>
      <w:pgMar w:top="567" w:right="567" w:bottom="426" w:left="1134" w:header="14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88" w:rsidRDefault="00D07625">
      <w:r>
        <w:separator/>
      </w:r>
    </w:p>
  </w:endnote>
  <w:endnote w:type="continuationSeparator" w:id="0">
    <w:p w:rsidR="00AE5388" w:rsidRDefault="00D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88" w:rsidRDefault="00D07625">
      <w:r>
        <w:separator/>
      </w:r>
    </w:p>
  </w:footnote>
  <w:footnote w:type="continuationSeparator" w:id="0">
    <w:p w:rsidR="00AE5388" w:rsidRDefault="00D0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3990AA1"/>
    <w:multiLevelType w:val="hybridMultilevel"/>
    <w:tmpl w:val="58A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3FA72AD4"/>
    <w:multiLevelType w:val="multilevel"/>
    <w:tmpl w:val="68BA02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 w15:restartNumberingAfterBreak="0">
    <w:nsid w:val="5CB3781D"/>
    <w:multiLevelType w:val="hybridMultilevel"/>
    <w:tmpl w:val="638EB53E"/>
    <w:lvl w:ilvl="0" w:tplc="1BF62C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C0F88"/>
    <w:multiLevelType w:val="hybridMultilevel"/>
    <w:tmpl w:val="0EF07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D1CC1"/>
    <w:multiLevelType w:val="hybridMultilevel"/>
    <w:tmpl w:val="15F23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45A01"/>
    <w:multiLevelType w:val="hybridMultilevel"/>
    <w:tmpl w:val="59B0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7"/>
  </w:num>
  <w:num w:numId="5">
    <w:abstractNumId w:val="11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0"/>
  </w:num>
  <w:num w:numId="12">
    <w:abstractNumId w:val="20"/>
  </w:num>
  <w:num w:numId="13">
    <w:abstractNumId w:val="23"/>
  </w:num>
  <w:num w:numId="14">
    <w:abstractNumId w:val="10"/>
  </w:num>
  <w:num w:numId="15">
    <w:abstractNumId w:val="5"/>
  </w:num>
  <w:num w:numId="16">
    <w:abstractNumId w:val="21"/>
  </w:num>
  <w:num w:numId="17">
    <w:abstractNumId w:val="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 w:numId="22">
    <w:abstractNumId w:val="1"/>
  </w:num>
  <w:num w:numId="23">
    <w:abstractNumId w:val="24"/>
  </w:num>
  <w:num w:numId="24">
    <w:abstractNumId w:val="6"/>
  </w:num>
  <w:num w:numId="25">
    <w:abstractNumId w:val="4"/>
  </w:num>
  <w:num w:numId="26">
    <w:abstractNumId w:val="22"/>
  </w:num>
  <w:num w:numId="27">
    <w:abstractNumId w:val="25"/>
  </w:num>
  <w:num w:numId="28">
    <w:abstractNumId w:val="14"/>
  </w:num>
  <w:num w:numId="29">
    <w:abstractNumId w:val="19"/>
  </w:num>
  <w:num w:numId="3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88"/>
    <w:rsid w:val="000E503B"/>
    <w:rsid w:val="0020493E"/>
    <w:rsid w:val="0031204A"/>
    <w:rsid w:val="003652EE"/>
    <w:rsid w:val="003A06C7"/>
    <w:rsid w:val="003B115B"/>
    <w:rsid w:val="003C58DA"/>
    <w:rsid w:val="003F484D"/>
    <w:rsid w:val="0040285F"/>
    <w:rsid w:val="004117F8"/>
    <w:rsid w:val="00451B41"/>
    <w:rsid w:val="004B4E2D"/>
    <w:rsid w:val="0054275B"/>
    <w:rsid w:val="005B71D5"/>
    <w:rsid w:val="00655062"/>
    <w:rsid w:val="00682D55"/>
    <w:rsid w:val="00685C1A"/>
    <w:rsid w:val="006D2B64"/>
    <w:rsid w:val="0077362B"/>
    <w:rsid w:val="007B18ED"/>
    <w:rsid w:val="008D2BB2"/>
    <w:rsid w:val="008E625F"/>
    <w:rsid w:val="009028EF"/>
    <w:rsid w:val="00921939"/>
    <w:rsid w:val="00950856"/>
    <w:rsid w:val="00A57218"/>
    <w:rsid w:val="00A652FC"/>
    <w:rsid w:val="00AD1538"/>
    <w:rsid w:val="00AE5388"/>
    <w:rsid w:val="00BB47AC"/>
    <w:rsid w:val="00BB615C"/>
    <w:rsid w:val="00C31D0A"/>
    <w:rsid w:val="00CA17E1"/>
    <w:rsid w:val="00CD240C"/>
    <w:rsid w:val="00D01751"/>
    <w:rsid w:val="00D07625"/>
    <w:rsid w:val="00DA0CB9"/>
    <w:rsid w:val="00DD7312"/>
    <w:rsid w:val="00E71C61"/>
    <w:rsid w:val="00E755B2"/>
    <w:rsid w:val="00F71FC9"/>
    <w:rsid w:val="00F81740"/>
    <w:rsid w:val="00F860F3"/>
    <w:rsid w:val="00FA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47DC3C16"/>
  <w15:docId w15:val="{B2E6E53A-F27B-4C8C-86FF-506E6245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2"/>
    <w:qFormat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</w:style>
  <w:style w:type="table" w:styleId="a7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Pr>
      <w:color w:val="0000FF"/>
      <w:u w:val="single"/>
    </w:rPr>
  </w:style>
  <w:style w:type="paragraph" w:customStyle="1" w:styleId="11">
    <w:name w:val="Стиль1"/>
    <w:basedOn w:val="a4"/>
    <w:pPr>
      <w:pBdr>
        <w:bottom w:val="none" w:sz="0" w:space="0" w:color="auto"/>
      </w:pBdr>
    </w:pPr>
  </w:style>
  <w:style w:type="paragraph" w:customStyle="1" w:styleId="22">
    <w:name w:val="Стиль2"/>
    <w:basedOn w:val="a5"/>
  </w:style>
  <w:style w:type="character" w:styleId="ab">
    <w:name w:val="FollowedHyperlink"/>
    <w:basedOn w:val="a1"/>
    <w:rPr>
      <w:color w:val="800080"/>
      <w:u w:val="single"/>
    </w:rPr>
  </w:style>
  <w:style w:type="paragraph" w:customStyle="1" w:styleId="xl24">
    <w:name w:val="xl2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pPr>
      <w:numPr>
        <w:numId w:val="4"/>
      </w:numPr>
      <w:spacing w:after="0"/>
    </w:pPr>
  </w:style>
  <w:style w:type="paragraph" w:customStyle="1" w:styleId="xl47">
    <w:name w:val="xl47"/>
    <w:basedOn w:val="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pPr>
      <w:ind w:left="2007" w:hanging="567"/>
    </w:pPr>
    <w:rPr>
      <w:b w:val="0"/>
    </w:rPr>
  </w:style>
  <w:style w:type="paragraph" w:styleId="ac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Pr>
      <w:sz w:val="29"/>
      <w:szCs w:val="29"/>
    </w:rPr>
  </w:style>
  <w:style w:type="character" w:customStyle="1" w:styleId="31">
    <w:name w:val="Заголовок 3 Знак"/>
    <w:basedOn w:val="a1"/>
    <w:link w:val="30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pPr>
      <w:pBdr>
        <w:bottom w:val="none" w:sz="0" w:space="0" w:color="auto"/>
      </w:pBdr>
    </w:pPr>
  </w:style>
  <w:style w:type="paragraph" w:styleId="a">
    <w:name w:val="Subtitle"/>
    <w:basedOn w:val="a0"/>
    <w:qFormat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character" w:styleId="af0">
    <w:name w:val="annotation reference"/>
    <w:basedOn w:val="a1"/>
    <w:rPr>
      <w:sz w:val="16"/>
      <w:szCs w:val="16"/>
    </w:rPr>
  </w:style>
  <w:style w:type="paragraph" w:styleId="af1">
    <w:name w:val="annotation text"/>
    <w:basedOn w:val="a0"/>
    <w:link w:val="af2"/>
    <w:rPr>
      <w:sz w:val="20"/>
      <w:szCs w:val="20"/>
    </w:rPr>
  </w:style>
  <w:style w:type="character" w:customStyle="1" w:styleId="af2">
    <w:name w:val="Текст примечания Знак"/>
    <w:basedOn w:val="a1"/>
    <w:link w:val="af1"/>
  </w:style>
  <w:style w:type="paragraph" w:styleId="af3">
    <w:name w:val="annotation subject"/>
    <w:basedOn w:val="af1"/>
    <w:next w:val="af1"/>
    <w:link w:val="af4"/>
    <w:rPr>
      <w:b/>
      <w:bCs/>
    </w:rPr>
  </w:style>
  <w:style w:type="character" w:customStyle="1" w:styleId="af4">
    <w:name w:val="Тема примечания Знак"/>
    <w:basedOn w:val="af2"/>
    <w:link w:val="af3"/>
    <w:rPr>
      <w:b/>
      <w:bCs/>
    </w:rPr>
  </w:style>
  <w:style w:type="character" w:customStyle="1" w:styleId="20">
    <w:name w:val="Заголовок 2 Знак"/>
    <w:basedOn w:val="a1"/>
    <w:link w:val="2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Pr>
      <w:sz w:val="20"/>
      <w:szCs w:val="20"/>
    </w:rPr>
  </w:style>
  <w:style w:type="paragraph" w:styleId="13">
    <w:name w:val="index 1"/>
    <w:basedOn w:val="a0"/>
    <w:next w:val="a0"/>
    <w:autoRedefine/>
    <w:semiHidden/>
    <w:pPr>
      <w:ind w:left="240" w:hanging="240"/>
    </w:pPr>
  </w:style>
  <w:style w:type="character" w:styleId="af8">
    <w:name w:val="footnote reference"/>
    <w:basedOn w:val="a1"/>
    <w:semiHidden/>
    <w:rPr>
      <w:vertAlign w:val="superscript"/>
    </w:rPr>
  </w:style>
  <w:style w:type="paragraph" w:customStyle="1" w:styleId="414">
    <w:name w:val="4 Стиль 14 пт полужирный"/>
    <w:basedOn w:val="14"/>
    <w:pPr>
      <w:numPr>
        <w:numId w:val="6"/>
      </w:numPr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Pr>
      <w:sz w:val="24"/>
      <w:szCs w:val="24"/>
    </w:rPr>
  </w:style>
  <w:style w:type="paragraph" w:styleId="af9">
    <w:name w:val="Normal (Web)"/>
    <w:basedOn w:val="a0"/>
    <w:uiPriority w:val="99"/>
    <w:unhideWhenUsed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Pr>
      <w:b/>
      <w:bCs/>
    </w:rPr>
  </w:style>
  <w:style w:type="character" w:customStyle="1" w:styleId="410">
    <w:name w:val="стиль41"/>
    <w:basedOn w:val="a1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Pr>
      <w:sz w:val="18"/>
      <w:szCs w:val="18"/>
    </w:rPr>
  </w:style>
  <w:style w:type="paragraph" w:customStyle="1" w:styleId="BodyText21">
    <w:name w:val="Body Text 21"/>
    <w:basedOn w:val="a0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Pr>
      <w:rFonts w:ascii="Courier New" w:hAnsi="Courier New" w:cs="Courier New"/>
    </w:rPr>
  </w:style>
  <w:style w:type="table" w:customStyle="1" w:styleId="15">
    <w:name w:val="Сетка таблицы1"/>
    <w:basedOn w:val="a2"/>
    <w:next w:val="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vira.lugantseva@uniti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17F5-4373-4F54-B36F-7E3D25E7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4347</Characters>
  <Application>Microsoft Office Word</Application>
  <DocSecurity>4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Луганцева Эльвира Ивановна</cp:lastModifiedBy>
  <cp:revision>2</cp:revision>
  <cp:lastPrinted>2022-01-27T11:40:00Z</cp:lastPrinted>
  <dcterms:created xsi:type="dcterms:W3CDTF">2025-04-09T07:26:00Z</dcterms:created>
  <dcterms:modified xsi:type="dcterms:W3CDTF">2025-04-09T07:26:00Z</dcterms:modified>
</cp:coreProperties>
</file>