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205B8D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496450">
        <w:rPr>
          <w:rFonts w:ascii="Arial" w:hAnsi="Arial" w:cs="Arial"/>
          <w:sz w:val="20"/>
          <w:szCs w:val="20"/>
        </w:rPr>
        <w:t xml:space="preserve"> (Лот №2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205B8D">
        <w:rPr>
          <w:rFonts w:ascii="Arial" w:hAnsi="Arial" w:cs="Arial"/>
          <w:bCs/>
          <w:sz w:val="20"/>
          <w:szCs w:val="20"/>
        </w:rPr>
        <w:t>разработке</w:t>
      </w:r>
      <w:r w:rsidR="00205B8D" w:rsidRPr="00205B8D">
        <w:rPr>
          <w:rFonts w:ascii="Arial" w:hAnsi="Arial" w:cs="Arial"/>
          <w:bCs/>
          <w:sz w:val="20"/>
          <w:szCs w:val="20"/>
        </w:rPr>
        <w:t xml:space="preserve"> программы оснащения системами автоматического контроля выбросов (программа САК) и согласование в установленном действу</w:t>
      </w:r>
      <w:r w:rsidR="00205B8D">
        <w:rPr>
          <w:rFonts w:ascii="Arial" w:hAnsi="Arial" w:cs="Arial"/>
          <w:bCs/>
          <w:sz w:val="20"/>
          <w:szCs w:val="20"/>
        </w:rPr>
        <w:t xml:space="preserve">ющим законодательством порядке </w:t>
      </w:r>
    </w:p>
    <w:p w:rsidR="00FA737E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ООО «Шахтинская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оснащения системами автоматического контроля выбросов (программа САК) и согласование в установленном действу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ющим законодательством порядке 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>объекта ООО «Шахтинская керамика»</w:t>
            </w:r>
          </w:p>
          <w:p w:rsidR="00205B8D" w:rsidRP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ООО «Шахтинская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июль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A138A1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Объект негативного воздействия на окружающую среду 1 категории ООО «Шахтинская керамика», расположенного по адресу: 346418, Ростовская область, г. Шахты, пер. Доронина.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60-0161-002091-П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Размещен на 3-х земельных участках: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1- 61:59:0030442:99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2- 61:59:0030442:98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3- 61:59:0030442:37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176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A138A1" w:rsidRPr="00B727D9" w:rsidRDefault="00B727D9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 площадке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газоочистных установок</w:t>
            </w:r>
            <w:r w:rsidR="00A138A1"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до 31 декабря 2024 г.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вид отхода,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часть отходов размещается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на двух объектах размещения отходов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Ростовской области, входящих в ГРОРО РФ,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 xml:space="preserve">до 19 декабря 2023 г., 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B727D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промплощадки № 1 от 16.12.2019г. № 07/117-Р.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01.09.2015 г., договор на водоотведение от 01.06.2023г.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72672E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lastRenderedPageBreak/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205B8D">
              <w:rPr>
                <w:rFonts w:ascii="Arial" w:hAnsi="Arial" w:cs="Arial"/>
                <w:sz w:val="20"/>
                <w:szCs w:val="20"/>
              </w:rPr>
              <w:t>Лота №2.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Распоряжение Правительства РФ № 428-р от 13.03.2019 г. «Об утверждении видов технических устройств, оборудования или их совокупности (установок) на объектах I категории, стационарные источники выбросов загрязняющих веществ, сбросов загрязняющих веществ которых подлежат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262 от 13.03.2019 «Об утверждении Правил создания и эксплуатации системы автоматического контроля выбросов загрязняющих веществ и (ил</w:t>
            </w:r>
            <w:r>
              <w:rPr>
                <w:rFonts w:ascii="Arial" w:hAnsi="Arial" w:cs="Arial"/>
                <w:sz w:val="20"/>
                <w:szCs w:val="20"/>
              </w:rPr>
              <w:t>и) сбросов загрязняющих веществ»;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263 от 13.03.2019 «О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496450">
              <w:rPr>
                <w:rFonts w:ascii="Arial" w:hAnsi="Arial" w:cs="Arial"/>
                <w:sz w:val="20"/>
                <w:szCs w:val="20"/>
              </w:rPr>
              <w:t>Приказ Федеральной службы по надзору в сфере природопользования № 382 от 25.08.2022 «Об утверждении формата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496450">
              <w:rPr>
                <w:rFonts w:ascii="Arial" w:hAnsi="Arial" w:cs="Arial"/>
                <w:sz w:val="20"/>
                <w:szCs w:val="20"/>
              </w:rPr>
              <w:t>Водный код</w:t>
            </w:r>
            <w:r>
              <w:rPr>
                <w:rFonts w:ascii="Arial" w:hAnsi="Arial" w:cs="Arial"/>
                <w:sz w:val="20"/>
                <w:szCs w:val="20"/>
              </w:rPr>
              <w:t>екс РФ от 03.06.2006 г. № 74-ФЗ;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496450" w:rsidRPr="00A138A1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496450">
              <w:rPr>
                <w:rFonts w:ascii="Arial" w:hAnsi="Arial" w:cs="Arial"/>
                <w:sz w:val="20"/>
                <w:szCs w:val="20"/>
              </w:rPr>
              <w:t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(Зарегистрировано в Минюсте России 30.11.2021 N 66110).</w:t>
            </w:r>
          </w:p>
          <w:p w:rsidR="00A138A1" w:rsidRPr="00A138A1" w:rsidRDefault="00496450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>
              <w:rPr>
                <w:rFonts w:ascii="Arial" w:eastAsia="Calibri" w:hAnsi="Arial" w:cs="Arial"/>
                <w:sz w:val="20"/>
                <w:szCs w:val="20"/>
              </w:rPr>
              <w:t>САК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D6A" w:rsidRPr="009F0657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 </w:t>
            </w:r>
            <w:r w:rsidR="009F0657">
              <w:rPr>
                <w:rFonts w:ascii="Arial" w:eastAsia="Calibri" w:hAnsi="Arial" w:cs="Arial"/>
                <w:sz w:val="20"/>
                <w:szCs w:val="20"/>
              </w:rPr>
              <w:t>программы САК</w:t>
            </w:r>
            <w:bookmarkStart w:id="0" w:name="_GoBack"/>
            <w:bookmarkEnd w:id="0"/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9F0657">
              <w:rPr>
                <w:rFonts w:ascii="Arial" w:eastAsia="Calibri" w:hAnsi="Arial" w:cs="Arial"/>
                <w:sz w:val="20"/>
                <w:szCs w:val="20"/>
              </w:rPr>
              <w:t xml:space="preserve">Предоставление подтверждения в КП.  </w:t>
            </w:r>
          </w:p>
          <w:p w:rsid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C63D6A" w:rsidRP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C63D6A" w:rsidRP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C63D6A" w:rsidRP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C63D6A" w:rsidRP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C63D6A" w:rsidRDefault="00C63D6A" w:rsidP="00C63D6A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C63D6A" w:rsidRPr="00C63D6A" w:rsidRDefault="00C63D6A" w:rsidP="00C63D6A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C63D6A" w:rsidRPr="00C63D6A" w:rsidRDefault="00C63D6A" w:rsidP="00C63D6A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C63D6A" w:rsidRPr="00C63D6A" w:rsidRDefault="00C63D6A" w:rsidP="00C63D6A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C63D6A" w:rsidRPr="00C63D6A" w:rsidRDefault="00C63D6A" w:rsidP="00C63D6A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12. Наличие опыта выполнения работ по предмету тендера. Требуется предоставление: референс-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«Шахтинская керамика» пропускного режима объекта, политики ООО «Шахтинская керамика» в области промышленной безопасности, охраны труда и окружающей среды.</w:t>
            </w:r>
          </w:p>
          <w:p w:rsidR="00C63D6A" w:rsidRPr="00C63D6A" w:rsidRDefault="00C63D6A" w:rsidP="00C63D6A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субподрядной(ых) организации(й):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C63D6A" w:rsidRPr="00C63D6A" w:rsidRDefault="00C63D6A" w:rsidP="00C63D6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C63D6A" w:rsidRPr="00C63D6A" w:rsidRDefault="00C63D6A" w:rsidP="00C63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D6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17. </w:t>
            </w:r>
            <w:r w:rsidRPr="00C63D6A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C63D6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63D6A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C63D6A" w:rsidRPr="00C63D6A" w:rsidRDefault="00C63D6A" w:rsidP="00C63D6A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63D6A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C63D6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      </w:r>
          </w:p>
          <w:p w:rsidR="00C63D6A" w:rsidRPr="00C63D6A" w:rsidRDefault="00C63D6A" w:rsidP="00C63D6A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63D6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>программы оснащения системами автоматического кон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троля и получение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согласований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объекта НВОС 1 категории ООО «Шахтинская керамика». 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778">
              <w:rPr>
                <w:rFonts w:ascii="Arial" w:eastAsia="Calibri" w:hAnsi="Arial" w:cs="Arial"/>
                <w:sz w:val="20"/>
                <w:szCs w:val="20"/>
              </w:rPr>
              <w:t>1. Сбор и анализ информации о показателях выбросов и сбросов, подлежащих автоматическому контролю для каждого стационарного источника, подлежащего оснащению автоматическими средствами измерения;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технических возможностей осуществления автоматического контроля в условиях эксплуатации выбранных стационарных источников выбросов и (или) сбросов (визуальное обследование объекта (либо площадки производства) на предмет возможности размещения дополнительного оборудования (объектов) и т.д.);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мест и сроков установки автоматических средств измерений, позволяющих провести пломбирование мест установки автоматических средств измерения, измерительных каналов, мест и сроков установки средств фиксации во время технического об</w:t>
            </w:r>
            <w:r>
              <w:rPr>
                <w:rFonts w:ascii="Arial" w:eastAsia="Calibri" w:hAnsi="Arial" w:cs="Arial"/>
                <w:sz w:val="20"/>
                <w:szCs w:val="20"/>
              </w:rPr>
              <w:t>служивания, ремонта или поверки;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мест установки технических средств, обеспечивающих автоматическое измерение и учет показателей выбросов и сбросов, с учетом применимых положений информационно-технического справочника по наилучшим доступным технологиям ИТС 22.1-2016 «Общие принципы производственного экологического контроля и его метрологического обеспечения»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средств фиксации для автоматического измерения показ</w:t>
            </w:r>
            <w:r>
              <w:rPr>
                <w:rFonts w:ascii="Arial" w:eastAsia="Calibri" w:hAnsi="Arial" w:cs="Arial"/>
                <w:sz w:val="20"/>
                <w:szCs w:val="20"/>
              </w:rPr>
              <w:t>ателей выбросов и (или) сбросов;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метрологических характеристик автоматических средств измерения для всех измерительных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каналов и всей системы в целом;</w:t>
            </w:r>
          </w:p>
          <w:p w:rsidR="00AA394D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 xml:space="preserve">Определение состава </w:t>
            </w:r>
            <w:r>
              <w:rPr>
                <w:rFonts w:ascii="Arial" w:eastAsia="Calibri" w:hAnsi="Arial" w:cs="Arial"/>
                <w:sz w:val="20"/>
                <w:szCs w:val="20"/>
              </w:rPr>
              <w:t>и формы передаваемой информаци</w:t>
            </w:r>
            <w:r w:rsidR="00AA394D">
              <w:rPr>
                <w:rFonts w:ascii="Arial" w:eastAsia="Calibri" w:hAnsi="Arial" w:cs="Arial"/>
                <w:sz w:val="20"/>
                <w:szCs w:val="20"/>
              </w:rPr>
              <w:t>и;</w:t>
            </w:r>
          </w:p>
          <w:p w:rsidR="00AA7778" w:rsidRDefault="00AA394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8. Включение в 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САК процедуры работы в 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>интерфейс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е </w:t>
            </w:r>
            <w:proofErr w:type="spellStart"/>
            <w:r w:rsidR="008658AD">
              <w:rPr>
                <w:rFonts w:ascii="Arial" w:eastAsia="Calibri" w:hAnsi="Arial" w:cs="Arial"/>
                <w:sz w:val="20"/>
                <w:szCs w:val="20"/>
              </w:rPr>
              <w:t>Росприроднадзора</w:t>
            </w:r>
            <w:proofErr w:type="spellEnd"/>
            <w:r w:rsidR="008658AD">
              <w:rPr>
                <w:rFonts w:ascii="Arial" w:eastAsia="Calibri" w:hAnsi="Arial" w:cs="Arial"/>
                <w:sz w:val="20"/>
                <w:szCs w:val="20"/>
              </w:rPr>
              <w:t>, определяющего взаимодействие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между приемным комплексом и внешними программам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>и и сервисами (API), позволяющим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обеспечить взаимодействие автоматических средств изм</w:t>
            </w:r>
            <w:r>
              <w:rPr>
                <w:rFonts w:ascii="Arial" w:eastAsia="Calibri" w:hAnsi="Arial" w:cs="Arial"/>
                <w:sz w:val="20"/>
                <w:szCs w:val="20"/>
              </w:rPr>
              <w:t>ерения с ПТО УОНВОС и передачу данных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 показателях выбросов загрязняющих веществ загрязняющих веществ в автоматическом режиме.</w:t>
            </w:r>
          </w:p>
          <w:p w:rsid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Оформление и утверждения программы системы оснащения системами автоматического контроля объекта Заказчика;</w:t>
            </w:r>
          </w:p>
          <w:p w:rsidR="00AA7778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Согласование разработанной программы системы оснащения системами автоматического контроля, в установленном законодательском порядке;</w:t>
            </w:r>
          </w:p>
          <w:p w:rsidR="00A138A1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AA7778">
              <w:rPr>
                <w:rFonts w:ascii="Arial" w:hAnsi="Arial" w:cs="Arial"/>
                <w:sz w:val="20"/>
                <w:szCs w:val="20"/>
              </w:rPr>
              <w:t>авление Заказчику оригиналов САК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оснащения системами автоматического контроля выбросов объекта Заказчика (оригинал), 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оснащения автоматического контроля выбросов 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A6827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7" w:rsidRPr="00A138A1" w:rsidRDefault="00FA6827" w:rsidP="00FA6827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FA6827" w:rsidRPr="00A138A1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D22042" w:rsidRPr="00FD1851" w:rsidRDefault="00D22042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FA737E" w:rsidRDefault="007B284C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Pr="00FD1851">
        <w:rPr>
          <w:rFonts w:ascii="Arial" w:hAnsi="Arial" w:cs="Arial"/>
          <w:sz w:val="20"/>
          <w:szCs w:val="20"/>
        </w:rPr>
        <w:t>К.М. Дунаевская</w:t>
      </w:r>
    </w:p>
    <w:p w:rsidR="00C90360" w:rsidRDefault="00C90360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sectPr w:rsidR="00A138A1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7114B"/>
    <w:rsid w:val="000A403B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611E7D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0657"/>
    <w:rsid w:val="009F35FF"/>
    <w:rsid w:val="00A138A1"/>
    <w:rsid w:val="00A81F89"/>
    <w:rsid w:val="00AA394D"/>
    <w:rsid w:val="00AA6BFE"/>
    <w:rsid w:val="00AA7778"/>
    <w:rsid w:val="00AB2487"/>
    <w:rsid w:val="00B15B78"/>
    <w:rsid w:val="00B727D9"/>
    <w:rsid w:val="00B91538"/>
    <w:rsid w:val="00B93760"/>
    <w:rsid w:val="00BC196E"/>
    <w:rsid w:val="00BC218C"/>
    <w:rsid w:val="00C2465E"/>
    <w:rsid w:val="00C37271"/>
    <w:rsid w:val="00C423E5"/>
    <w:rsid w:val="00C63D6A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6C19"/>
    <w:rsid w:val="00DC3D05"/>
    <w:rsid w:val="00DE2CD6"/>
    <w:rsid w:val="00E41905"/>
    <w:rsid w:val="00E965B4"/>
    <w:rsid w:val="00EA7D9C"/>
    <w:rsid w:val="00EE0BBF"/>
    <w:rsid w:val="00EF768B"/>
    <w:rsid w:val="00F1207D"/>
    <w:rsid w:val="00F14834"/>
    <w:rsid w:val="00F22034"/>
    <w:rsid w:val="00F22637"/>
    <w:rsid w:val="00F71601"/>
    <w:rsid w:val="00FA6827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A815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8</cp:revision>
  <cp:lastPrinted>2023-09-18T13:08:00Z</cp:lastPrinted>
  <dcterms:created xsi:type="dcterms:W3CDTF">2023-11-06T13:17:00Z</dcterms:created>
  <dcterms:modified xsi:type="dcterms:W3CDTF">2023-11-08T15:57:00Z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