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50445" w:rsidTr="00150445">
        <w:tc>
          <w:tcPr>
            <w:tcW w:w="4672" w:type="dxa"/>
          </w:tcPr>
          <w:p w:rsidR="00150445" w:rsidRDefault="00150445" w:rsidP="00B734F5">
            <w:pPr>
              <w:ind w:left="179" w:right="732" w:hanging="1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A78EF" w:rsidRPr="00162F64" w:rsidRDefault="00AA78EF" w:rsidP="00FE5BAD">
            <w:pPr>
              <w:pStyle w:val="2"/>
              <w:ind w:left="885"/>
              <w:outlineLvl w:val="1"/>
              <w:rPr>
                <w:rFonts w:ascii="Times New Roman" w:hAnsi="Times New Roman"/>
                <w:b w:val="0"/>
                <w:color w:val="auto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pacing w:val="0"/>
                <w:sz w:val="24"/>
                <w:szCs w:val="24"/>
              </w:rPr>
              <w:t>«</w:t>
            </w:r>
            <w:r w:rsidRPr="00162F64">
              <w:rPr>
                <w:rFonts w:ascii="Times New Roman" w:hAnsi="Times New Roman"/>
                <w:b w:val="0"/>
                <w:color w:val="auto"/>
                <w:spacing w:val="0"/>
                <w:sz w:val="24"/>
                <w:szCs w:val="24"/>
              </w:rPr>
              <w:t>Утверждаю»</w:t>
            </w:r>
          </w:p>
          <w:p w:rsidR="00AA78EF" w:rsidRDefault="00AA78EF" w:rsidP="00FE5BAD">
            <w:pPr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Операционный директор</w:t>
            </w:r>
          </w:p>
          <w:p w:rsidR="00AA78EF" w:rsidRPr="00162F64" w:rsidRDefault="00AA78EF" w:rsidP="00FE5BAD">
            <w:pPr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площадки</w:t>
            </w:r>
          </w:p>
          <w:p w:rsidR="00AA78EF" w:rsidRDefault="00AA78EF" w:rsidP="00FE5BAD">
            <w:pPr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«Воронежская керамика»</w:t>
            </w:r>
          </w:p>
          <w:p w:rsidR="00FE5BAD" w:rsidRPr="00162F64" w:rsidRDefault="00FE5BAD" w:rsidP="00FE5BAD">
            <w:pPr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8EF" w:rsidRDefault="00AA78EF" w:rsidP="00FE5BAD">
            <w:pPr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Д.В. Выровский</w:t>
            </w:r>
          </w:p>
          <w:p w:rsidR="00FE5BAD" w:rsidRPr="00162F64" w:rsidRDefault="00FE5BAD" w:rsidP="00FE5BAD">
            <w:pPr>
              <w:ind w:left="8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445" w:rsidRPr="00FE5BAD" w:rsidRDefault="00AA78EF" w:rsidP="00AA78E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 202_г.</w:t>
            </w:r>
          </w:p>
          <w:p w:rsidR="00150445" w:rsidRDefault="00150445" w:rsidP="0015044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4674" w:rsidRPr="003C5A07" w:rsidRDefault="009368C8" w:rsidP="0060163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6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задание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88"/>
        <w:gridCol w:w="1417"/>
        <w:gridCol w:w="1134"/>
      </w:tblGrid>
      <w:tr w:rsidR="00601639" w:rsidRPr="00601639" w:rsidTr="00150445">
        <w:tc>
          <w:tcPr>
            <w:tcW w:w="10348" w:type="dxa"/>
            <w:gridSpan w:val="4"/>
            <w:shd w:val="clear" w:color="auto" w:fill="FFFFFF" w:themeFill="background1"/>
          </w:tcPr>
          <w:p w:rsidR="00601639" w:rsidRPr="00601639" w:rsidRDefault="00601639" w:rsidP="0067271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Вид и цели выполнения работ </w:t>
            </w:r>
          </w:p>
        </w:tc>
      </w:tr>
      <w:tr w:rsidR="00601639" w:rsidRPr="00601639" w:rsidTr="00150445">
        <w:tc>
          <w:tcPr>
            <w:tcW w:w="10348" w:type="dxa"/>
            <w:gridSpan w:val="4"/>
            <w:shd w:val="clear" w:color="auto" w:fill="FFFFFF" w:themeFill="background1"/>
          </w:tcPr>
          <w:p w:rsidR="00E14E52" w:rsidRDefault="001D5F30" w:rsidP="001D5F3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B372A1" w:rsidRPr="00B372A1">
              <w:rPr>
                <w:rFonts w:ascii="Times New Roman" w:eastAsia="Times New Roman" w:hAnsi="Times New Roman" w:cs="Times New Roman"/>
                <w:lang w:eastAsia="ru-RU"/>
              </w:rPr>
              <w:t xml:space="preserve">емонт </w:t>
            </w:r>
            <w:r w:rsidR="007740F3">
              <w:rPr>
                <w:rFonts w:ascii="Times New Roman" w:eastAsia="Times New Roman" w:hAnsi="Times New Roman" w:cs="Times New Roman"/>
                <w:lang w:eastAsia="ru-RU"/>
              </w:rPr>
              <w:t>участк</w:t>
            </w:r>
            <w:r w:rsidR="008F3197"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="007740F3">
              <w:rPr>
                <w:rFonts w:ascii="Times New Roman" w:eastAsia="Times New Roman" w:hAnsi="Times New Roman" w:cs="Times New Roman"/>
                <w:lang w:eastAsia="ru-RU"/>
              </w:rPr>
              <w:t xml:space="preserve"> ограждения территории</w:t>
            </w:r>
            <w:r w:rsidR="00181B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ООО «Воронежская керамика»</w:t>
            </w:r>
            <w:r w:rsidR="007740F3">
              <w:rPr>
                <w:rFonts w:ascii="Times New Roman" w:eastAsia="Times New Roman" w:hAnsi="Times New Roman" w:cs="Times New Roman"/>
                <w:lang w:eastAsia="ru-RU"/>
              </w:rPr>
              <w:t xml:space="preserve"> по ул.Конструкторов</w:t>
            </w:r>
          </w:p>
          <w:p w:rsidR="00601639" w:rsidRPr="00B372A1" w:rsidRDefault="00B372A1" w:rsidP="00621DC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2A1">
              <w:rPr>
                <w:rFonts w:ascii="Times New Roman" w:eastAsia="Times New Roman" w:hAnsi="Times New Roman" w:cs="Times New Roman"/>
                <w:lang w:eastAsia="ru-RU"/>
              </w:rPr>
              <w:t>Адрес оказания услуги</w:t>
            </w:r>
            <w:r w:rsidR="00E14E52">
              <w:rPr>
                <w:rFonts w:ascii="Times New Roman" w:eastAsia="Times New Roman" w:hAnsi="Times New Roman" w:cs="Times New Roman"/>
                <w:lang w:eastAsia="ru-RU"/>
              </w:rPr>
              <w:t>: г.Воронеж, ул.</w:t>
            </w:r>
            <w:r w:rsidRPr="00B372A1">
              <w:rPr>
                <w:rFonts w:ascii="Times New Roman" w:eastAsia="Times New Roman" w:hAnsi="Times New Roman" w:cs="Times New Roman"/>
                <w:lang w:eastAsia="ru-RU"/>
              </w:rPr>
              <w:t>Конструкторов, 31</w:t>
            </w:r>
          </w:p>
        </w:tc>
      </w:tr>
      <w:tr w:rsidR="00601639" w:rsidRPr="00601639" w:rsidTr="00150445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601639" w:rsidRPr="00601639" w:rsidRDefault="00601639" w:rsidP="009368C8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Наличие проектной (сметной) документации </w:t>
            </w:r>
          </w:p>
          <w:p w:rsidR="00601639" w:rsidRPr="00601639" w:rsidRDefault="00601639" w:rsidP="009368C8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(согласованной и утвержденной в установленном порядке, которая и будет являться техническим заданием для размещения указанных работ)(приложить)</w:t>
            </w:r>
          </w:p>
        </w:tc>
      </w:tr>
      <w:tr w:rsidR="00601639" w:rsidRPr="00601639" w:rsidTr="00150445">
        <w:tc>
          <w:tcPr>
            <w:tcW w:w="10348" w:type="dxa"/>
            <w:gridSpan w:val="4"/>
            <w:shd w:val="clear" w:color="auto" w:fill="FFFFFF" w:themeFill="background1"/>
          </w:tcPr>
          <w:p w:rsidR="00601639" w:rsidRPr="00B372A1" w:rsidRDefault="00B372A1" w:rsidP="00B372A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37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метной документации к договору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подряда на выполнение работ</w:t>
            </w:r>
          </w:p>
        </w:tc>
      </w:tr>
      <w:tr w:rsidR="00601639" w:rsidRPr="00601639" w:rsidTr="00150445">
        <w:tc>
          <w:tcPr>
            <w:tcW w:w="10348" w:type="dxa"/>
            <w:gridSpan w:val="4"/>
            <w:shd w:val="clear" w:color="auto" w:fill="FFFFFF" w:themeFill="background1"/>
          </w:tcPr>
          <w:p w:rsidR="00951F77" w:rsidRPr="00951F77" w:rsidRDefault="004F13C1" w:rsidP="00951F77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Предварительный перечень и объемы выполнения работ</w:t>
            </w:r>
          </w:p>
        </w:tc>
      </w:tr>
      <w:tr w:rsidR="00524E7D" w:rsidRPr="00601639" w:rsidTr="00150445">
        <w:trPr>
          <w:trHeight w:val="397"/>
        </w:trPr>
        <w:tc>
          <w:tcPr>
            <w:tcW w:w="709" w:type="dxa"/>
          </w:tcPr>
          <w:p w:rsidR="00DE7459" w:rsidRPr="00524E7D" w:rsidRDefault="00DE7459" w:rsidP="000F5AA5">
            <w:pPr>
              <w:shd w:val="clear" w:color="auto" w:fill="FFFFFF"/>
              <w:tabs>
                <w:tab w:val="left" w:pos="437"/>
              </w:tabs>
              <w:spacing w:after="0" w:line="240" w:lineRule="auto"/>
              <w:ind w:left="34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E7D">
              <w:rPr>
                <w:rFonts w:ascii="Times New Roman" w:eastAsia="Times New Roman" w:hAnsi="Times New Roman" w:cs="Times New Roman"/>
                <w:lang w:eastAsia="ru-RU"/>
              </w:rPr>
              <w:t>№ п.п.</w:t>
            </w:r>
          </w:p>
        </w:tc>
        <w:tc>
          <w:tcPr>
            <w:tcW w:w="7088" w:type="dxa"/>
          </w:tcPr>
          <w:p w:rsidR="00DE7459" w:rsidRPr="00524E7D" w:rsidRDefault="00DE7459" w:rsidP="00EE5D10">
            <w:pPr>
              <w:shd w:val="clear" w:color="auto" w:fill="FFFFFF"/>
              <w:spacing w:after="0" w:line="240" w:lineRule="auto"/>
              <w:ind w:left="15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E7D">
              <w:rPr>
                <w:rFonts w:ascii="Times New Roman" w:eastAsia="Times New Roman" w:hAnsi="Times New Roman" w:cs="Times New Roman"/>
                <w:lang w:eastAsia="ru-RU"/>
              </w:rPr>
              <w:t>Наименование работ</w:t>
            </w:r>
          </w:p>
        </w:tc>
        <w:tc>
          <w:tcPr>
            <w:tcW w:w="1417" w:type="dxa"/>
          </w:tcPr>
          <w:p w:rsidR="00DE7459" w:rsidRPr="00524E7D" w:rsidRDefault="00DE7459" w:rsidP="00524E7D">
            <w:pPr>
              <w:shd w:val="clear" w:color="auto" w:fill="FFFFFF"/>
              <w:spacing w:after="0" w:line="240" w:lineRule="auto"/>
              <w:ind w:left="43" w:right="5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E7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DE7459" w:rsidRPr="00524E7D" w:rsidRDefault="00DE7459" w:rsidP="000F5AA5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4E7D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</w:tc>
      </w:tr>
      <w:tr w:rsidR="009D6539" w:rsidRPr="00601639" w:rsidTr="00150445">
        <w:trPr>
          <w:trHeight w:val="20"/>
        </w:trPr>
        <w:tc>
          <w:tcPr>
            <w:tcW w:w="10348" w:type="dxa"/>
            <w:gridSpan w:val="4"/>
          </w:tcPr>
          <w:p w:rsidR="009D6539" w:rsidRPr="003B4553" w:rsidRDefault="007740F3" w:rsidP="00455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B4553">
              <w:rPr>
                <w:rFonts w:cs="Arial"/>
                <w:b/>
                <w:bCs/>
                <w:color w:val="000000"/>
                <w:spacing w:val="-2"/>
              </w:rPr>
              <w:t>ремонт участка ограждения территории</w:t>
            </w:r>
            <w:r w:rsidR="00455D78" w:rsidRPr="003B4553">
              <w:rPr>
                <w:rFonts w:cs="Arial"/>
                <w:b/>
                <w:bCs/>
                <w:color w:val="000000"/>
                <w:spacing w:val="-2"/>
              </w:rPr>
              <w:t xml:space="preserve"> по ул.Конструкторов</w:t>
            </w:r>
            <w:r w:rsidR="00FF3EE2" w:rsidRPr="003B455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7740F3" w:rsidRPr="00601639" w:rsidTr="00150445">
        <w:trPr>
          <w:trHeight w:val="20"/>
        </w:trPr>
        <w:tc>
          <w:tcPr>
            <w:tcW w:w="709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499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8" w:type="dxa"/>
          </w:tcPr>
          <w:p w:rsidR="007740F3" w:rsidRPr="00E4499C" w:rsidRDefault="007740F3" w:rsidP="007740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Демонтаж проволоки "егоза"</w:t>
            </w:r>
          </w:p>
        </w:tc>
        <w:tc>
          <w:tcPr>
            <w:tcW w:w="1417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1134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7740F3" w:rsidRPr="00601639" w:rsidTr="00150445">
        <w:trPr>
          <w:trHeight w:val="20"/>
        </w:trPr>
        <w:tc>
          <w:tcPr>
            <w:tcW w:w="709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8" w:type="dxa"/>
          </w:tcPr>
          <w:p w:rsidR="007740F3" w:rsidRPr="00C11333" w:rsidRDefault="007740F3" w:rsidP="007740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Разборка кирпичного забора    </w:t>
            </w:r>
          </w:p>
        </w:tc>
        <w:tc>
          <w:tcPr>
            <w:tcW w:w="1417" w:type="dxa"/>
          </w:tcPr>
          <w:p w:rsidR="007740F3" w:rsidRPr="00C11333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7740F3" w:rsidRPr="00951F77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3,1</w:t>
            </w:r>
          </w:p>
        </w:tc>
      </w:tr>
      <w:tr w:rsidR="007740F3" w:rsidRPr="00601639" w:rsidTr="00150445">
        <w:trPr>
          <w:trHeight w:val="20"/>
        </w:trPr>
        <w:tc>
          <w:tcPr>
            <w:tcW w:w="709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8" w:type="dxa"/>
          </w:tcPr>
          <w:p w:rsidR="007740F3" w:rsidRPr="00E4499C" w:rsidRDefault="007740F3" w:rsidP="007740F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Разборка кирпичных столбов </w:t>
            </w:r>
          </w:p>
        </w:tc>
        <w:tc>
          <w:tcPr>
            <w:tcW w:w="1417" w:type="dxa"/>
          </w:tcPr>
          <w:p w:rsidR="007740F3" w:rsidRPr="00E4499C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7740F3" w:rsidRPr="00951F77" w:rsidRDefault="007740F3" w:rsidP="007740F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</w:t>
            </w:r>
            <w:r w:rsidRPr="00455D78">
              <w:rPr>
                <w:rFonts w:ascii="Calibri" w:hAnsi="Calibri" w:cs="Calibri"/>
                <w:color w:val="000000"/>
              </w:rPr>
              <w:t xml:space="preserve"> фундаментов</w:t>
            </w:r>
          </w:p>
        </w:tc>
        <w:tc>
          <w:tcPr>
            <w:tcW w:w="1417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Разработка грунта вручную под фундамент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88" w:type="dxa"/>
          </w:tcPr>
          <w:p w:rsidR="00455D78" w:rsidRPr="00F73BD3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песчаной подготовки 10 см с уплотнением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Pr="00E4499C" w:rsidRDefault="00455D78" w:rsidP="00974E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974E32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8" w:type="dxa"/>
          </w:tcPr>
          <w:p w:rsidR="00455D78" w:rsidRPr="00F73BD3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Засыпка песком пазух с уплотнением</w:t>
            </w:r>
          </w:p>
        </w:tc>
        <w:tc>
          <w:tcPr>
            <w:tcW w:w="1417" w:type="dxa"/>
          </w:tcPr>
          <w:p w:rsidR="00455D78" w:rsidRPr="00C11333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0,45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8" w:type="dxa"/>
          </w:tcPr>
          <w:p w:rsidR="00455D78" w:rsidRPr="00E4499C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ж/б фундамента</w:t>
            </w:r>
            <w:r w:rsidR="00224124">
              <w:rPr>
                <w:rFonts w:ascii="Calibri" w:hAnsi="Calibri" w:cs="Calibri"/>
                <w:color w:val="000000"/>
              </w:rPr>
              <w:t xml:space="preserve"> (бетон В22,5</w:t>
            </w:r>
            <w:r w:rsidR="00EC799D">
              <w:rPr>
                <w:rFonts w:ascii="Calibri" w:hAnsi="Calibri" w:cs="Calibri"/>
                <w:color w:val="000000"/>
              </w:rPr>
              <w:t>, М300</w:t>
            </w:r>
            <w:r w:rsidR="00224124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88" w:type="dxa"/>
          </w:tcPr>
          <w:p w:rsidR="00455D78" w:rsidRPr="00E4499C" w:rsidRDefault="00455D78" w:rsidP="0070475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0D1F">
              <w:rPr>
                <w:rFonts w:ascii="Calibri" w:hAnsi="Calibri" w:cs="Calibri"/>
                <w:color w:val="000000"/>
              </w:rPr>
              <w:t xml:space="preserve">Установка металлических столбов </w:t>
            </w:r>
            <w:r w:rsidR="00704759">
              <w:rPr>
                <w:rFonts w:ascii="Calibri" w:hAnsi="Calibri" w:cs="Calibri"/>
                <w:color w:val="000000"/>
              </w:rPr>
              <w:t>(труба 60х60х3,5 мм, 8 м пог.)</w:t>
            </w:r>
          </w:p>
        </w:tc>
        <w:tc>
          <w:tcPr>
            <w:tcW w:w="1417" w:type="dxa"/>
          </w:tcPr>
          <w:p w:rsidR="00455D78" w:rsidRPr="00C11333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шт.</w:t>
            </w:r>
          </w:p>
        </w:tc>
        <w:tc>
          <w:tcPr>
            <w:tcW w:w="1134" w:type="dxa"/>
          </w:tcPr>
          <w:p w:rsidR="00455D78" w:rsidRPr="00C11333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8" w:type="dxa"/>
          </w:tcPr>
          <w:p w:rsidR="00455D78" w:rsidRPr="00F73BD3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горизонтальной гидроизоляции</w:t>
            </w:r>
          </w:p>
        </w:tc>
        <w:tc>
          <w:tcPr>
            <w:tcW w:w="1417" w:type="dxa"/>
          </w:tcPr>
          <w:p w:rsidR="00455D78" w:rsidRPr="00C11333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Pr="00C11333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вертикальной обмазочной гидроизоляции</w:t>
            </w:r>
          </w:p>
        </w:tc>
        <w:tc>
          <w:tcPr>
            <w:tcW w:w="1417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88" w:type="dxa"/>
          </w:tcPr>
          <w:p w:rsidR="00455D78" w:rsidRDefault="00455D78" w:rsidP="00455D78">
            <w:pPr>
              <w:tabs>
                <w:tab w:val="left" w:pos="2100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Кирпичная кладка 1/2 кирпича полотна ограждения с армированием </w:t>
            </w:r>
            <w:r w:rsidR="00570212">
              <w:rPr>
                <w:rFonts w:ascii="Calibri" w:hAnsi="Calibri" w:cs="Calibri"/>
                <w:color w:val="000000"/>
              </w:rPr>
              <w:t xml:space="preserve">ч/з каждые  4 ряда кладки </w:t>
            </w:r>
            <w:r w:rsidRPr="00500391">
              <w:rPr>
                <w:rFonts w:ascii="Calibri" w:hAnsi="Calibri" w:cs="Calibri"/>
                <w:color w:val="000000"/>
              </w:rPr>
              <w:t>(кирпич  силикатный</w:t>
            </w:r>
            <w:r>
              <w:rPr>
                <w:rFonts w:ascii="Calibri" w:hAnsi="Calibri" w:cs="Calibri"/>
                <w:color w:val="000000"/>
              </w:rPr>
              <w:t>, керамический</w:t>
            </w:r>
            <w:r w:rsidRPr="00500391">
              <w:rPr>
                <w:rFonts w:ascii="Calibri" w:hAnsi="Calibri" w:cs="Calibri"/>
                <w:color w:val="000000"/>
              </w:rPr>
              <w:t xml:space="preserve"> полуторный)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25,2</w:t>
            </w:r>
          </w:p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7088" w:type="dxa"/>
          </w:tcPr>
          <w:p w:rsidR="00455D78" w:rsidRPr="00E4499C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Кирпичная кладка столбов 0,5х0,5 </w:t>
            </w:r>
            <w:r w:rsidRPr="00500391">
              <w:rPr>
                <w:rFonts w:ascii="Calibri" w:hAnsi="Calibri" w:cs="Calibri"/>
                <w:color w:val="000000"/>
              </w:rPr>
              <w:t>(кирпич керамический полуторный</w:t>
            </w:r>
            <w:r w:rsidR="00704759">
              <w:rPr>
                <w:rFonts w:ascii="Calibri" w:hAnsi="Calibri" w:cs="Calibri"/>
                <w:color w:val="000000"/>
              </w:rPr>
              <w:t>,</w:t>
            </w:r>
            <w:r w:rsidR="002A6177" w:rsidRPr="002A6177">
              <w:rPr>
                <w:rFonts w:ascii="Calibri" w:hAnsi="Calibri" w:cs="Calibri"/>
                <w:color w:val="000000"/>
              </w:rPr>
              <w:t xml:space="preserve"> </w:t>
            </w:r>
            <w:r w:rsidR="002A6177">
              <w:rPr>
                <w:rFonts w:ascii="Calibri" w:hAnsi="Calibri" w:cs="Calibri"/>
                <w:color w:val="000000"/>
              </w:rPr>
              <w:t>с армированием ч/з каждые  4 ряда кладки</w:t>
            </w:r>
            <w:r w:rsidRPr="0050039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1,3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7088" w:type="dxa"/>
          </w:tcPr>
          <w:p w:rsidR="00455D78" w:rsidRPr="00E4499C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Изготовление и установка закладных деталей из ар-ры д.12 мм под проволоку "егоза"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1134" w:type="dxa"/>
          </w:tcPr>
          <w:p w:rsidR="00455D78" w:rsidRPr="00B429C0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Грунтовка, окраска (за два раза) закладных деталей</w:t>
            </w:r>
          </w:p>
        </w:tc>
        <w:tc>
          <w:tcPr>
            <w:tcW w:w="1417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7088" w:type="dxa"/>
          </w:tcPr>
          <w:p w:rsidR="00455D78" w:rsidRPr="00C11333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Монтаж проволоки "егоза" (проволока Заказчика)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7088" w:type="dxa"/>
          </w:tcPr>
          <w:p w:rsidR="00455D78" w:rsidRPr="00C11333" w:rsidRDefault="00455D78" w:rsidP="00455D7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Демонтаж и монтаж фасонных элементов покрытия забора из оцинкованного металла тол. 0,45 мм. фасонные элементы Заказчика)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2,6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7088" w:type="dxa"/>
          </w:tcPr>
          <w:p w:rsidR="00455D78" w:rsidRPr="00C11333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Планировка участка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6,6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деревянного каркаса из бруса 100х50 для временного ограждения</w:t>
            </w:r>
          </w:p>
        </w:tc>
        <w:tc>
          <w:tcPr>
            <w:tcW w:w="1417" w:type="dxa"/>
          </w:tcPr>
          <w:p w:rsidR="00455D78" w:rsidRDefault="00446AEC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7088" w:type="dxa"/>
          </w:tcPr>
          <w:p w:rsidR="00455D78" w:rsidRPr="00C11333" w:rsidRDefault="00455D78" w:rsidP="00455D7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временного забора из профлиста по деревянному каркасу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 временного забора из профлиста по деревянному каркасу</w:t>
            </w:r>
          </w:p>
        </w:tc>
        <w:tc>
          <w:tcPr>
            <w:tcW w:w="1417" w:type="dxa"/>
          </w:tcPr>
          <w:p w:rsidR="00455D78" w:rsidRPr="00E4499C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455D78" w:rsidRPr="00601639" w:rsidTr="00150445">
        <w:trPr>
          <w:trHeight w:val="20"/>
        </w:trPr>
        <w:tc>
          <w:tcPr>
            <w:tcW w:w="709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7088" w:type="dxa"/>
          </w:tcPr>
          <w:p w:rsidR="00455D78" w:rsidRDefault="00455D78" w:rsidP="00455D7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 деревянного каркаса из бруса 100х50</w:t>
            </w:r>
          </w:p>
        </w:tc>
        <w:tc>
          <w:tcPr>
            <w:tcW w:w="1417" w:type="dxa"/>
          </w:tcPr>
          <w:p w:rsidR="00455D78" w:rsidRPr="00E4499C" w:rsidRDefault="00446AEC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55D78" w:rsidRDefault="00455D78" w:rsidP="00455D7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0,25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088" w:type="dxa"/>
          </w:tcPr>
          <w:p w:rsidR="001F6DDB" w:rsidRP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Погрузка грунта</w:t>
            </w:r>
          </w:p>
        </w:tc>
        <w:tc>
          <w:tcPr>
            <w:tcW w:w="1417" w:type="dxa"/>
          </w:tcPr>
          <w:p w:rsidR="001F6DDB" w:rsidRP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FC64F6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3,3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088" w:type="dxa"/>
          </w:tcPr>
          <w:p w:rsidR="001F6DDB" w:rsidRP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Вывоз грунта</w:t>
            </w:r>
          </w:p>
        </w:tc>
        <w:tc>
          <w:tcPr>
            <w:tcW w:w="1417" w:type="dxa"/>
          </w:tcPr>
          <w:p w:rsidR="001F6DDB" w:rsidRP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</w:tcPr>
          <w:p w:rsidR="001F6DDB" w:rsidRDefault="00FC64F6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5,76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7088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Погрузка мусора на самосвал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088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Вывоз, утилизация мусора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</w:tcPr>
          <w:p w:rsidR="001F6DDB" w:rsidRDefault="001F6DDB" w:rsidP="00FC64F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FC64F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,9</w:t>
            </w:r>
          </w:p>
        </w:tc>
      </w:tr>
      <w:tr w:rsidR="001F6DDB" w:rsidRPr="00601639" w:rsidTr="00150445">
        <w:trPr>
          <w:trHeight w:val="20"/>
        </w:trPr>
        <w:tc>
          <w:tcPr>
            <w:tcW w:w="10348" w:type="dxa"/>
            <w:gridSpan w:val="4"/>
          </w:tcPr>
          <w:p w:rsidR="001F6DDB" w:rsidRPr="00D168DF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3B4553">
              <w:rPr>
                <w:rFonts w:cs="Arial"/>
                <w:b/>
                <w:bCs/>
                <w:color w:val="000000"/>
                <w:spacing w:val="-2"/>
              </w:rPr>
              <w:t xml:space="preserve">ремонт участка ограждения территории </w:t>
            </w:r>
            <w:r>
              <w:rPr>
                <w:rFonts w:cs="Arial"/>
                <w:b/>
                <w:bCs/>
                <w:color w:val="000000"/>
                <w:spacing w:val="-2"/>
              </w:rPr>
              <w:t>склада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E4499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088" w:type="dxa"/>
          </w:tcPr>
          <w:p w:rsidR="001F6DDB" w:rsidRPr="00E4499C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Демонтаж проволоки "егоза"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1134" w:type="dxa"/>
          </w:tcPr>
          <w:p w:rsidR="001F6DDB" w:rsidRPr="00E4499C" w:rsidRDefault="001F6DDB" w:rsidP="00974E3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974E32"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7088" w:type="dxa"/>
          </w:tcPr>
          <w:p w:rsidR="001F6DDB" w:rsidRPr="00C11333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Разборка кирпичного забора    </w:t>
            </w:r>
          </w:p>
        </w:tc>
        <w:tc>
          <w:tcPr>
            <w:tcW w:w="1417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13,5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88" w:type="dxa"/>
          </w:tcPr>
          <w:p w:rsidR="001F6DDB" w:rsidRPr="00E4499C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Разборка кирпичных столбов 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Pr="00514367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</w:t>
            </w:r>
          </w:p>
        </w:tc>
        <w:tc>
          <w:tcPr>
            <w:tcW w:w="7088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</w:t>
            </w:r>
            <w:r w:rsidRPr="00455D78">
              <w:rPr>
                <w:rFonts w:ascii="Calibri" w:hAnsi="Calibri" w:cs="Calibri"/>
                <w:color w:val="000000"/>
              </w:rPr>
              <w:t xml:space="preserve"> фундаментов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88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Разработка грунта под фундамент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Pr="00951F77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7088" w:type="dxa"/>
          </w:tcPr>
          <w:p w:rsidR="001F6DDB" w:rsidRPr="00F73BD3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песчаной подготовки 10 см с уплотнением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Pr="009A7DD0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3,2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7088" w:type="dxa"/>
          </w:tcPr>
          <w:p w:rsidR="001F6DDB" w:rsidRPr="00F73BD3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Засыпка песком пазух с уплотнением</w:t>
            </w:r>
          </w:p>
        </w:tc>
        <w:tc>
          <w:tcPr>
            <w:tcW w:w="1417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7088" w:type="dxa"/>
          </w:tcPr>
          <w:p w:rsidR="001F6DDB" w:rsidRPr="00A811BA" w:rsidRDefault="00EC799D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ж/б фундамента (бетон В22,5, М300)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7088" w:type="dxa"/>
          </w:tcPr>
          <w:p w:rsidR="001F6DDB" w:rsidRPr="00F73BD3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горизонтальной гидроизоляции</w:t>
            </w:r>
          </w:p>
        </w:tc>
        <w:tc>
          <w:tcPr>
            <w:tcW w:w="1417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7088" w:type="dxa"/>
          </w:tcPr>
          <w:p w:rsidR="001F6DDB" w:rsidRPr="00E4499C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0D1F">
              <w:rPr>
                <w:rFonts w:ascii="Calibri" w:hAnsi="Calibri" w:cs="Calibri"/>
                <w:color w:val="000000"/>
              </w:rPr>
              <w:t xml:space="preserve">Установка металлических </w:t>
            </w:r>
            <w:r>
              <w:rPr>
                <w:rFonts w:ascii="Calibri" w:hAnsi="Calibri" w:cs="Calibri"/>
                <w:color w:val="000000"/>
              </w:rPr>
              <w:t>стоек (в фундамент, в т.ч. в кирп. кладке столбов, труба 60х60х3,5 мм, 34,6 м пог., 13 шт.)</w:t>
            </w:r>
          </w:p>
        </w:tc>
        <w:tc>
          <w:tcPr>
            <w:tcW w:w="1417" w:type="dxa"/>
          </w:tcPr>
          <w:p w:rsidR="001F6DDB" w:rsidRPr="00C11333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Pr="00C11333" w:rsidRDefault="001F6DDB" w:rsidP="00E43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 w:rsidR="00E43633">
              <w:rPr>
                <w:rFonts w:ascii="Calibri" w:hAnsi="Calibri" w:cs="Calibri"/>
                <w:color w:val="000000"/>
              </w:rPr>
              <w:t>09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7088" w:type="dxa"/>
          </w:tcPr>
          <w:p w:rsidR="001F6DDB" w:rsidRPr="00800D1F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направляющих (прогонов, труба 40х</w:t>
            </w:r>
            <w:r w:rsidRPr="009A7DD0">
              <w:rPr>
                <w:rFonts w:ascii="Calibri" w:hAnsi="Calibri" w:cs="Calibri"/>
                <w:color w:val="000000"/>
                <w:shd w:val="clear" w:color="auto" w:fill="FFFFFF" w:themeFill="background1"/>
              </w:rPr>
              <w:t>40</w:t>
            </w:r>
            <w:r>
              <w:rPr>
                <w:rFonts w:ascii="Calibri" w:hAnsi="Calibri" w:cs="Calibri"/>
                <w:color w:val="000000"/>
              </w:rPr>
              <w:t>х2 мм, 96 м пог.</w:t>
            </w:r>
            <w:r w:rsidR="00E43633">
              <w:rPr>
                <w:rFonts w:ascii="Calibri" w:hAnsi="Calibri" w:cs="Calibri"/>
                <w:color w:val="000000"/>
              </w:rPr>
              <w:t>, 3 шт.</w:t>
            </w:r>
            <w:r>
              <w:rPr>
                <w:rFonts w:ascii="Calibri" w:hAnsi="Calibri" w:cs="Calibri"/>
                <w:color w:val="000000"/>
              </w:rPr>
              <w:t xml:space="preserve">)   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Pr="00D74D65" w:rsidRDefault="001F6DDB" w:rsidP="00E4363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0,2</w:t>
            </w:r>
            <w:r w:rsidR="00E43633"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1F6DDB" w:rsidRPr="00601639" w:rsidTr="00150445">
        <w:trPr>
          <w:trHeight w:val="20"/>
        </w:trPr>
        <w:tc>
          <w:tcPr>
            <w:tcW w:w="709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7088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Грунтовка, окраска (за два раза) м/к ограждения (стоек, прогонов)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Pr="00641C2B" w:rsidRDefault="00641C2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16</w:t>
            </w:r>
            <w:r>
              <w:rPr>
                <w:rFonts w:ascii="Calibri" w:hAnsi="Calibri" w:cs="Calibri"/>
                <w:color w:val="000000"/>
              </w:rPr>
              <w:t>,8</w:t>
            </w:r>
          </w:p>
        </w:tc>
      </w:tr>
      <w:tr w:rsidR="00427CD3" w:rsidRPr="00601639" w:rsidTr="00427CD3">
        <w:trPr>
          <w:trHeight w:val="20"/>
        </w:trPr>
        <w:tc>
          <w:tcPr>
            <w:tcW w:w="709" w:type="dxa"/>
          </w:tcPr>
          <w:p w:rsidR="00427CD3" w:rsidRPr="00E4499C" w:rsidRDefault="00427CD3" w:rsidP="00427C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0" w:type="dxa"/>
          </w:tcPr>
          <w:p w:rsidR="00427CD3" w:rsidRPr="00E4499C" w:rsidRDefault="00427CD3" w:rsidP="00954B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Кирпичная кладка столбов 0,</w:t>
            </w:r>
            <w:r w:rsidR="00954BD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х0,</w:t>
            </w:r>
            <w:r w:rsidR="00954BD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 xml:space="preserve">х2,0 м </w:t>
            </w:r>
            <w:r w:rsidRPr="00500391">
              <w:rPr>
                <w:rFonts w:ascii="Calibri" w:hAnsi="Calibri" w:cs="Calibri"/>
                <w:color w:val="000000"/>
              </w:rPr>
              <w:t xml:space="preserve">(кирпич </w:t>
            </w:r>
            <w:r>
              <w:rPr>
                <w:rFonts w:ascii="Calibri" w:hAnsi="Calibri" w:cs="Calibri"/>
                <w:color w:val="000000"/>
              </w:rPr>
              <w:t>силикатный</w:t>
            </w:r>
            <w:r w:rsidRPr="00500391">
              <w:rPr>
                <w:rFonts w:ascii="Calibri" w:hAnsi="Calibri" w:cs="Calibri"/>
                <w:color w:val="000000"/>
              </w:rPr>
              <w:t xml:space="preserve"> полуторный</w:t>
            </w:r>
            <w:r>
              <w:rPr>
                <w:rFonts w:ascii="Calibri" w:hAnsi="Calibri" w:cs="Calibri"/>
                <w:color w:val="000000"/>
              </w:rPr>
              <w:t>, 9 шт.</w:t>
            </w:r>
            <w:r w:rsidRPr="00500391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</w:tcPr>
          <w:p w:rsidR="00427CD3" w:rsidRPr="00E4499C" w:rsidRDefault="00427CD3" w:rsidP="00427C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427CD3" w:rsidRPr="00AD428C" w:rsidRDefault="00954BD7" w:rsidP="00427CD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4,5</w:t>
            </w:r>
            <w:bookmarkStart w:id="0" w:name="_GoBack"/>
            <w:bookmarkEnd w:id="0"/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0" w:type="dxa"/>
            <w:shd w:val="clear" w:color="auto" w:fill="FFFFFF" w:themeFill="background1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вертикальной обмазочной гидроизоляции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38,4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Облицовка цоколя фундамента керамической плиткой (плитка заказчика)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0" w:type="dxa"/>
          </w:tcPr>
          <w:p w:rsidR="001F6DDB" w:rsidRDefault="001F6DDB" w:rsidP="001F6DDB">
            <w:pPr>
              <w:tabs>
                <w:tab w:val="left" w:pos="2100"/>
              </w:tabs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Монтаж полотна ограждения</w:t>
            </w:r>
            <w:r w:rsidRPr="00884DA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из профлиста (толщ. 0,45 мм) по направляющим 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dxa"/>
          </w:tcPr>
          <w:p w:rsidR="001F6DDB" w:rsidRPr="00E4499C" w:rsidRDefault="001F6DDB" w:rsidP="003639A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Изготовление и установка закладных деталей мм под проволоку "егоза" (уголок 32х4 мм, 13 шт.х1,2м</w:t>
            </w:r>
            <w:r w:rsidR="003639A6">
              <w:rPr>
                <w:rFonts w:ascii="Calibri" w:hAnsi="Calibri" w:cs="Calibri"/>
                <w:color w:val="000000"/>
              </w:rPr>
              <w:t>=15,6 м пог.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417" w:type="dxa"/>
          </w:tcPr>
          <w:p w:rsidR="001F6DDB" w:rsidRPr="00E4499C" w:rsidRDefault="003639A6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Pr="00B429C0" w:rsidRDefault="003639A6" w:rsidP="003639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0,034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Грунтовка, окраска (за два раза) закладных деталей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1F6DDB" w:rsidRDefault="002711BA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1F6DDB">
              <w:rPr>
                <w:rFonts w:ascii="Calibri" w:hAnsi="Calibri" w:cs="Calibri"/>
                <w:color w:val="000000"/>
              </w:rPr>
              <w:t>,7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0" w:type="dxa"/>
          </w:tcPr>
          <w:p w:rsidR="001F6DDB" w:rsidRPr="00C11333" w:rsidRDefault="001F6DDB" w:rsidP="00EF3C9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Монтаж проволоки "егоза" 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dxa"/>
          </w:tcPr>
          <w:p w:rsidR="001F6DDB" w:rsidRPr="00C11333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Монтаж фасонных элементов покрытия из оцинкованного металла тол. 0,45 мм. (верха кирпичных столбов 9 шт.)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1,2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dxa"/>
          </w:tcPr>
          <w:p w:rsidR="001F6DDB" w:rsidRPr="00C11333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Планировка участка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деревянного каркаса из бруса 100х50 для временного ограждения</w:t>
            </w:r>
          </w:p>
        </w:tc>
        <w:tc>
          <w:tcPr>
            <w:tcW w:w="1417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dxa"/>
          </w:tcPr>
          <w:p w:rsidR="001F6DDB" w:rsidRPr="00C11333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Устройство временного забора из профлиста по деревянному каркасу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 временного забора из профлиста по деревянному каркасу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Разборка деревянного каркаса из бруса 100х50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D339ED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dxa"/>
          </w:tcPr>
          <w:p w:rsidR="001F6DDB" w:rsidRP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Погрузка грунта</w:t>
            </w:r>
          </w:p>
        </w:tc>
        <w:tc>
          <w:tcPr>
            <w:tcW w:w="1417" w:type="dxa"/>
          </w:tcPr>
          <w:p w:rsidR="001F6DDB" w:rsidRP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B90A28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9,6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D339ED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0" w:type="dxa"/>
          </w:tcPr>
          <w:p w:rsidR="001F6DDB" w:rsidRPr="001F6DDB" w:rsidRDefault="001F6DDB" w:rsidP="001F6DD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Вывоз грунта</w:t>
            </w:r>
          </w:p>
        </w:tc>
        <w:tc>
          <w:tcPr>
            <w:tcW w:w="1417" w:type="dxa"/>
          </w:tcPr>
          <w:p w:rsidR="001F6DDB" w:rsidRPr="001F6DDB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1F6DDB"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</w:tcPr>
          <w:p w:rsidR="001F6DDB" w:rsidRDefault="00B90A28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D339ED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Погрузка мусора на самосвал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1134" w:type="dxa"/>
          </w:tcPr>
          <w:p w:rsidR="001F6DDB" w:rsidRDefault="00B90A28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26,6</w:t>
            </w:r>
          </w:p>
        </w:tc>
      </w:tr>
      <w:tr w:rsidR="001F6DDB" w:rsidRPr="00601639" w:rsidTr="00427CD3">
        <w:trPr>
          <w:trHeight w:val="20"/>
        </w:trPr>
        <w:tc>
          <w:tcPr>
            <w:tcW w:w="709" w:type="dxa"/>
          </w:tcPr>
          <w:p w:rsidR="001F6DDB" w:rsidRDefault="00D339ED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0" w:type="dxa"/>
          </w:tcPr>
          <w:p w:rsidR="001F6DDB" w:rsidRDefault="001F6DDB" w:rsidP="001F6DD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Вывоз, утилизация мусора</w:t>
            </w:r>
          </w:p>
        </w:tc>
        <w:tc>
          <w:tcPr>
            <w:tcW w:w="1417" w:type="dxa"/>
          </w:tcPr>
          <w:p w:rsidR="001F6DDB" w:rsidRPr="00E4499C" w:rsidRDefault="001F6DDB" w:rsidP="001F6D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</w:t>
            </w:r>
          </w:p>
        </w:tc>
        <w:tc>
          <w:tcPr>
            <w:tcW w:w="1134" w:type="dxa"/>
          </w:tcPr>
          <w:p w:rsidR="001F6DDB" w:rsidRPr="00641C2B" w:rsidRDefault="00B90A28" w:rsidP="00B90A2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42,6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Место выполнения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B372A1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участок ограждения территории ООО «Воронежская керамика» по ул.Конструкторов, 31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911F4E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Предварительные с</w:t>
            </w:r>
            <w:r w:rsidR="001F6DDB"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роки (периоды) выполнения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F6DDB" w:rsidRPr="00BA0342" w:rsidRDefault="001F6DDB" w:rsidP="00F537F4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342">
              <w:rPr>
                <w:rFonts w:ascii="Times New Roman" w:eastAsia="Times New Roman" w:hAnsi="Times New Roman" w:cs="Times New Roman"/>
                <w:lang w:eastAsia="ru-RU"/>
              </w:rPr>
              <w:t>июнь - июль 202</w:t>
            </w:r>
            <w:r w:rsidR="00F537F4" w:rsidRPr="00BA0342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BA0342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по выполнению сопутствующих работ, оказанию сопутствующих услуг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(поставкам необходимых товаров, в т.ч. оборудования, комплекта расходных материалов, предоставления иллюстративных материалов, доставке, разгрузке и др.)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Доставка, разгрузка, складирование используемых материалов и оборудования производятся силами и средствами за счет подрядной организации.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tabs>
                <w:tab w:val="num" w:pos="180"/>
              </w:tabs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Общие требования к выполнению работ, их качеству, в том числе технологии выполнения работ, методам и методики выполнения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tabs>
                <w:tab w:val="num" w:pos="180"/>
              </w:tabs>
              <w:spacing w:after="0" w:line="240" w:lineRule="auto"/>
              <w:ind w:left="360" w:hanging="5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 в т.ч. приводятся ссылки на нормы, правила, стандарты или другие нормативные документы, касающиеся выполняемых работ)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B32602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и координировать работы на объекте, обеспечить соблюдение требований законодательства, технических регламентов, настоящего Технического задания и нести ответственность за качество выполняемых работ и применяемых материалов и их соответствие требованиям настоящего Технического задания.</w:t>
            </w:r>
          </w:p>
          <w:p w:rsidR="001F6DDB" w:rsidRPr="00B32602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за свой счет охрану материалов, инструментов и оборудования до передачи выполненных работ Заказчику.</w:t>
            </w:r>
          </w:p>
          <w:p w:rsidR="001F6DDB" w:rsidRPr="00B32602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работ Подрядчик должен руководствоваться действующими строительными нормами и правилами, правилами пожарной безопасности и безопасной эксплуатации строительных машин и механизмов, экологическими, санитарно-гигиеническими и 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другими нормами, действующие на территории Российской Федерации и обеспечивающие безопасную для жизни и здоровья людей эксплуатацию объектов.</w:t>
            </w:r>
          </w:p>
          <w:p w:rsidR="001F6DDB" w:rsidRPr="00B32602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Руководствоваться нормативно-правовыми актами РФ в области строительства: Федеральным законом № 384-ФЗ от 30.12.2009 г. «Технический регламент о безопасности зданий и сооружений»; ФЗ-№190 Градостроительный кодекс РФ от 29.12.2004г., СП 48.13330.2011 Организация строительства, СНиП 12-03-2001,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СНиП 12-04-2002 «Безопасность труда в строительстве»; Федерального закона № 123-ФЗ от 22.07.2008 г. «Технический регламент о требованиях пожарной безопасности», СП 45.13330.2017 «Свод правил. Земляные соо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ружения, основания и фундаменты»; </w:t>
            </w:r>
            <w:r w:rsidRPr="0042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71.13330.2017 «Изоляционные и отделочные покрытия»; СП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2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.13330.201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2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строительных конструкций от коррозии»; СП 16.13330.2017 «Стальные конструкции»; </w:t>
            </w:r>
            <w:r w:rsidRPr="00E648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15.13330.2020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«Каменные и армокаменные конструкции»; СП </w:t>
            </w:r>
            <w:r w:rsidRPr="0077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70.13330.2012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«Несущие и ограждающие конструкции»; СП 63.13330.2018 «Бетонные и железобетонные конструкции»; СП 43.13330.2012 «Сооружения промышленных предприятий» 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другими нормативными документами, регламентирующими данный вид деятельности.</w:t>
            </w:r>
          </w:p>
          <w:p w:rsidR="001F6DDB" w:rsidRDefault="001F6DDB" w:rsidP="001F6DDB">
            <w:pPr>
              <w:pStyle w:val="a6"/>
              <w:shd w:val="clear" w:color="auto" w:fill="FFFFFF"/>
              <w:spacing w:before="0" w:beforeAutospacing="0" w:after="0" w:afterAutospacing="0"/>
              <w:ind w:firstLine="744"/>
              <w:jc w:val="both"/>
            </w:pPr>
            <w:r w:rsidRPr="00F90817">
              <w:t>Ко</w:t>
            </w:r>
            <w:r>
              <w:t>нтролировать качество выполнения</w:t>
            </w:r>
            <w:r w:rsidRPr="00F90817">
              <w:t xml:space="preserve"> работ и вести учет выявленных нарушений требований технического регламента о безопасности зданий и сооружений.</w:t>
            </w:r>
          </w:p>
          <w:p w:rsidR="001F6DDB" w:rsidRPr="00B32602" w:rsidRDefault="001F6DDB" w:rsidP="001F6DDB">
            <w:pPr>
              <w:pStyle w:val="a6"/>
              <w:shd w:val="clear" w:color="auto" w:fill="FFFFFF"/>
              <w:spacing w:before="0" w:beforeAutospacing="0" w:after="0" w:afterAutospacing="0"/>
              <w:ind w:firstLine="744"/>
              <w:jc w:val="both"/>
            </w:pPr>
            <w:r w:rsidRPr="00B32602">
              <w:t>Нести ответственность за повреждения имущества Заказчика.</w:t>
            </w:r>
          </w:p>
          <w:p w:rsidR="001F6DDB" w:rsidRPr="00B32602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строительный мусор, жидкие отходы (включая, но не ограничиваясь, лакокрасочные материалы, цемент, масла, растворители и строительные смеси), иные строительные отходы (далее – отходы), которые остаются во время выполнения работ по Договору, подлежат вывозу с Объекта Заказчика незамедлительно с момента их образования. Сброс (выброс) любых отходов в систему канализации Заказчика, прилегающую к Объекту территорию или иные не предусмотренные для этого места, строго запрещен.</w:t>
            </w:r>
          </w:p>
          <w:p w:rsidR="001F6DDB" w:rsidRPr="00601639" w:rsidRDefault="001F6DDB" w:rsidP="001F6DDB">
            <w:pPr>
              <w:tabs>
                <w:tab w:val="left" w:pos="9355"/>
                <w:tab w:val="left" w:pos="10065"/>
              </w:tabs>
              <w:spacing w:after="0" w:line="240" w:lineRule="auto"/>
              <w:ind w:right="-1" w:firstLine="7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работ Подрядчик обязан произвести уборку и очистку Объекта и территории, прилегающей к Объекту от строительного и иного мусора.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Требования к безопасности выполнения работ и безопасности результатов работ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(в случае, если от исполнителя требуется осуществить страхование ответственности перед третьими лицами или если выполняемые работ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B32602" w:rsidRDefault="001F6DDB" w:rsidP="001F6D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Подрядчик несёт ответственность за соблюдение правил пожарной безопасности, правил охраны труда и техники безопасности, правил дорожного движения при проведении работ. </w:t>
            </w:r>
          </w:p>
          <w:p w:rsidR="001F6DDB" w:rsidRPr="00B32602" w:rsidRDefault="001F6DDB" w:rsidP="001F6DDB">
            <w:pPr>
              <w:pStyle w:val="a6"/>
              <w:shd w:val="clear" w:color="auto" w:fill="FFFFFF"/>
              <w:spacing w:before="0" w:beforeAutospacing="0" w:after="0" w:afterAutospacing="0"/>
              <w:ind w:firstLine="744"/>
              <w:jc w:val="both"/>
            </w:pPr>
            <w:r w:rsidRPr="00F90817">
              <w:t>Руководствоваться нормативно-правовыми актами РФ в области строительства: Федеральным законом № 384-ФЗ от 30.12.2009 г. «Технический регламент о безопасности зданий и сооружений»; ФЗ-№190 Градостроительный кодек</w:t>
            </w:r>
            <w:r>
              <w:t>с РФ от 29.12.2004г., СП 48.133</w:t>
            </w:r>
            <w:r w:rsidRPr="00F90817">
              <w:t>30.2011 Организация строительства, СНиП 12-03-2001, СНиП 12-04-2002 «Безопасность труда в строительстве»; Федерального закона № 123-ФЗ от 22.07.2008 г. «Технический регламент о тре</w:t>
            </w:r>
            <w:r>
              <w:t>бованиях пожарной безопасности»</w:t>
            </w:r>
            <w:r w:rsidRPr="00F90817">
              <w:t xml:space="preserve"> и другими нормативными документами, регламентирующими данный вид деятельности.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сдачи и приемки результатов работ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(указываются мероприятия по обеспечению сдачи и приемки работ по каждому этапу выполнения работ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работ)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B32602" w:rsidRDefault="001F6DDB" w:rsidP="001F6DD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назначает своего уполномоченного представителя, который от его имени совместно с Подрядчиком осуществляет приемку выполненных работ, технический надзор и контроль выполнения Работ по договору, их качество, а также производит проверку соответствия используемых Подрядчиком материалов условиям Договора.</w:t>
            </w:r>
          </w:p>
          <w:p w:rsidR="001F6DDB" w:rsidRPr="00B32602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 объемы дополнительных работ по результатам осмотра с составлением актов и дефектных ведомостей. Работы, выполненные с изменением или отклонением от Работ, указанных в сметном расчёте, не оформленные в установленном порядке, оплате не подлежат.</w:t>
            </w:r>
          </w:p>
          <w:p w:rsidR="001F6DDB" w:rsidRPr="00B32602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 доступ на объект сотрудников Подрядчика.</w:t>
            </w:r>
          </w:p>
          <w:p w:rsidR="001F6DDB" w:rsidRPr="00B32602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Подрядчику возможность подключения к имеющимся у Заказчика источникам электроснабжения, водоснабжения, канализации для целей выполнения работ, предусмотренных настоящим Техническим заданием.</w:t>
            </w:r>
          </w:p>
          <w:p w:rsidR="001F6DDB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обнаружения Заказчиком недостатков в выполненных работах или некачественно выполненных работ в течение 5 (пяти) рабочих дней составляется Акт с перечислением выявленных недостатков, необходимых доработок и сроком их устранения. После подписания 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Акта Подрядчик обязан в согласованный сторонами срок своими силами и без увеличения цены Договора переделать работы для устранения недостатков выполненных работ и обеспечения их надлежащего качества.</w:t>
            </w:r>
          </w:p>
          <w:p w:rsidR="001F6DDB" w:rsidRPr="00B32602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скрытых работ, Подрядчик предоставляет акты скрытых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исполнительные схемы помещений, систем инженерного обеспечения</w:t>
            </w: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Подрядчик приступает к выполнению последующих работ только после приемки Заказчиком скрытых работ.</w:t>
            </w:r>
          </w:p>
          <w:p w:rsidR="001F6DDB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завершения работ Подрядчик предоставляет Заказчику акт о приемке выполненных работ по форме КС - 2, подписанный со своей стороны, справку о стоимости выполненных работ по форме КС-3 и счет-фактуру, если Подрядчик осуществляет деятельность по общей системе налогообложения. Документы предоставляются в бумажном виде. Формы КС-2 и КС-3 утверждены Постановлением Госкомстата №100 от 11.11.1999 г.</w:t>
            </w:r>
          </w:p>
          <w:p w:rsidR="001F6DDB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Результатом работы явля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отремонтирован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участок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ограждения территории ООО «Воронежская керамика» по ул.Конструкторов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21717">
              <w:rPr>
                <w:rFonts w:ascii="Times New Roman" w:eastAsia="Times New Roman" w:hAnsi="Times New Roman" w:cs="Times New Roman"/>
                <w:lang w:eastAsia="ru-RU"/>
              </w:rPr>
              <w:t>приведенный в нормативно-техническое состояние, отвечающее требованиям действующего законодательства.</w:t>
            </w:r>
          </w:p>
          <w:p w:rsidR="001F6DDB" w:rsidRPr="00601639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результатов выполненных работ Подрядчиком и приемка их Заказчиком оформляется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актом </w:t>
            </w:r>
            <w:r w:rsidRPr="005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эксплуатацию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объекта </w:t>
            </w:r>
            <w:r w:rsidRPr="00517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приемочной комиссией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подписанным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должностными лицами 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Требования по передаче заказчику технических и иных документов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завершению и сдаче работ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026F66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завершению работ Подрядчик должен предоставить Заказчику:</w:t>
            </w:r>
          </w:p>
          <w:p w:rsidR="001F6DDB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акты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видетельствования скрытых работ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 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 в количестве 2-х экземпляров;</w:t>
            </w:r>
          </w:p>
          <w:p w:rsidR="001F6DDB" w:rsidRPr="00026F66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исполнительные схемы помещений, систем инженерного обеспечения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бумажном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носителе в количестве 2-х экземпляров;</w:t>
            </w:r>
          </w:p>
          <w:p w:rsidR="001F6DDB" w:rsidRPr="00026F66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сертификаты на материалы (заверенные копии) - на бумажном носителе в количестве 2-х экземпляров;</w:t>
            </w:r>
          </w:p>
          <w:p w:rsidR="001F6DDB" w:rsidRPr="00026F66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выполненных работ (КС-2) - на бумажном носителе в количестве 2-х экземпляров;</w:t>
            </w:r>
          </w:p>
          <w:p w:rsidR="001F6DDB" w:rsidRPr="00026F66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стоимости выполненных работ (КС-3) - на бумажном носителе в количестве 2-х</w:t>
            </w:r>
          </w:p>
          <w:p w:rsidR="001F6DDB" w:rsidRPr="00601639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экземпляров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по монтажу поставленного оборудования, пусконаладочным и иным работам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системам вентиляции провести пусконаладочные работы с оформлением соответствующей исполнительно- технической документации.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по техническому обучению персонала заказчика работе на подготовленных по результатам выполнения работ объектах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Требования по объему гарантий качества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(минимально приемлемые для заказчика либо жестко установленные обязанности исполнителя в гарантийный период)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026F66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 материалы и расходные материалы должны иметь сертификаты качества и соответствовать ГОСТам, ТУ, действующим в РФ (гарантирующие качество и безопасность товаров), иметь торговую марку и товарный знак. </w:t>
            </w:r>
          </w:p>
          <w:p w:rsidR="001F6DDB" w:rsidRPr="00026F66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Применяемое оборудование, используемое при выполнении работ, должно быть сертифицировано и испытано, иметь технические паспорта. </w:t>
            </w:r>
          </w:p>
          <w:p w:rsidR="001F6DDB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Устанавливаемые, при выполнении всех видов работ, материалы должны быть новыми, произведенными официальными производителями. Использование б/у материалов не допускается.</w:t>
            </w:r>
          </w:p>
          <w:p w:rsidR="001F6DDB" w:rsidRPr="00BD34A2" w:rsidRDefault="001F6DDB" w:rsidP="001F6DDB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гарантией понимается устранение Подрядчиком своими силами и за свой счет</w:t>
            </w:r>
          </w:p>
          <w:p w:rsidR="001F6DDB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допущенных по его вине недостатков, выявленных после приемки работ.</w:t>
            </w:r>
          </w:p>
          <w:p w:rsidR="001F6DDB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несет ответственность за недостатки (дефекты), обнаруженные в пределах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гарантийного срока, если не докажет, что они произошли вследствие нормального износа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 выполненных работ или его частей, неправильной его эксплуатации, ненадлежащего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 результата выполненных работ, произведенного самим Заказчиком или привлеченными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третьими лицами.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обнаружении в течение гарантийного срока недостатков (дефектов), Заказчик должен</w:t>
            </w:r>
          </w:p>
          <w:p w:rsidR="001F6DDB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заявить о них Подрядчику в разумный срок после их обнаружения.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рабочих дней после получения Подрядчиком уведомления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обнаруженных Заказчиком недостатках (дефектах) результата выполненных работ Стороны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акт, в котором фиксируются обнаруженные недостатки (дефекты) и устанавливается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 их устранение.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участия в составлении акта о недостатках, фиксирующего выявленные дефекты,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согласования порядка и сроков их устранения Подрядчик обязан в течение 2 (двух) дней с момента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получения извещения Заказчика о выявленных дефектах направить своего представителя.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отказе Подрядчика от составления или подписания акта о недостатках Заказчик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односторонний акт, копия которого направляется Подрядчику.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гарантийного срока прерывается на все время, на протяжении которого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выполненных работ не мог эксплуатироваться вследствие недостатков (дефектов), Подрядчик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 устранить соответствующие недостатки (дефекты), в срок, указанный в акте, в котором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фиксируются данные недостатки (дефекты). При этом Подрядчик обязан безвозмездно устранять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в акте недостатки (дефекты) в разумный срок или возмещать расходы на их устранение.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гарантирует возможность безопасного использования результата выполненных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по назначению в течение всего гарантийного срока.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несет ответственность перед Заказчиком за допущенные отступления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 настоящего Технического задания.</w:t>
            </w:r>
          </w:p>
          <w:p w:rsidR="001F6DDB" w:rsidRPr="00BD34A2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 не несет ответственности в период гарантийного срока за ущерб, причиненный</w:t>
            </w:r>
          </w:p>
          <w:p w:rsidR="001F6DDB" w:rsidRPr="00601639" w:rsidRDefault="001F6DDB" w:rsidP="001F6DD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результату работ третьими лицами или ненадлежащей эксплуатацией.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Требования по сроку гарантий качества на результаты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(минимально приемлемые для заказчика либо жестко установленные сроки)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auto"/>
          </w:tcPr>
          <w:p w:rsidR="001F6DDB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не менее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(тридцать шесть) месяцев с даты подписания итогового Акта приёмки выполненных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весь объем выполненных работ.</w:t>
            </w:r>
          </w:p>
          <w:p w:rsidR="001F6DDB" w:rsidRPr="00601639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используемые материалы гарантия производителя (обязательное условие: входной контроль материалов и оборудования подрядчиком)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квалификации исполнителя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 выполняемые виды работ, требующие наличия свидетельства саморегулируемой организации в строительстве, предоставить данное свидетельство.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 работ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Правовое регулирование приобретения и использования выполненных работ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342AAE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42AAE">
              <w:rPr>
                <w:rFonts w:ascii="Times New Roman" w:eastAsia="Times New Roman" w:hAnsi="Times New Roman" w:cs="Times New Roman"/>
                <w:lang w:eastAsia="ru-RU"/>
              </w:rPr>
              <w:t>осуществляется по усмотрению заказчика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оплаты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(условия, сроки и размер оплаты по каждому этапу выполнения работ и в целом, в том числе без аванса/аванс до 30%)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7758D3" w:rsidRDefault="007615E1" w:rsidP="001F6DD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предпочтительные условия оплаты: </w:t>
            </w:r>
            <w:r w:rsidRPr="00761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  <w:r w:rsidR="001F6DDB" w:rsidRPr="007758D3">
              <w:rPr>
                <w:rFonts w:ascii="Times New Roman" w:eastAsia="Times New Roman" w:hAnsi="Times New Roman" w:cs="Times New Roman"/>
                <w:lang w:eastAsia="ru-RU"/>
              </w:rPr>
              <w:t>отсрочка платежа 30 календарных дней от даты подписания сторонами акта приема-передачи оказанных услуг за отчетный период.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Иные требования к работам и условиям их выполнения по усмотрению заказчика </w:t>
            </w:r>
          </w:p>
          <w:p w:rsidR="001F6DDB" w:rsidRPr="00601639" w:rsidRDefault="001F6DDB" w:rsidP="001F6DDB">
            <w:pPr>
              <w:shd w:val="clear" w:color="auto" w:fill="FFFFFF" w:themeFill="background1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(для включения в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договор</w:t>
            </w: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C007E4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выезд на место предлагаемого подрядчика (поставщика услуг) перед предоставлением КП (уточнение на месте производства работ объемов и видов выполнения работ для составления КП, сметного расчета или расчета договорной цены).</w:t>
            </w:r>
          </w:p>
          <w:p w:rsidR="001F6DDB" w:rsidRDefault="001F6DDB" w:rsidP="001F6DDB">
            <w:pPr>
              <w:shd w:val="clear" w:color="auto" w:fill="FFFFFF"/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выполняется на территории Заказчика.</w:t>
            </w:r>
          </w:p>
          <w:p w:rsidR="001F6DDB" w:rsidRPr="00601639" w:rsidRDefault="001F6DDB" w:rsidP="001F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00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территории заказчика выполнять в соответствии с «Положением о допуске сторонних организаций к производству работ на объектах ООО «Воронежская керамика».</w:t>
            </w:r>
          </w:p>
        </w:tc>
      </w:tr>
      <w:tr w:rsidR="001F6DDB" w:rsidRPr="00601639" w:rsidTr="00427CD3"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1F6DDB" w:rsidRPr="00601639" w:rsidRDefault="001F6DDB" w:rsidP="001F6DDB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639">
              <w:rPr>
                <w:rFonts w:ascii="Times New Roman" w:eastAsia="Times New Roman" w:hAnsi="Times New Roman" w:cs="Times New Roman"/>
                <w:b/>
                <w:lang w:eastAsia="ru-RU"/>
              </w:rPr>
              <w:t>Приложения</w:t>
            </w:r>
          </w:p>
        </w:tc>
      </w:tr>
      <w:tr w:rsidR="001F6DDB" w:rsidRPr="00601639" w:rsidTr="00427CD3">
        <w:tc>
          <w:tcPr>
            <w:tcW w:w="10348" w:type="dxa"/>
            <w:gridSpan w:val="4"/>
            <w:shd w:val="clear" w:color="auto" w:fill="FFFFFF" w:themeFill="background1"/>
          </w:tcPr>
          <w:p w:rsidR="001F6DDB" w:rsidRPr="00342AAE" w:rsidRDefault="001F6DDB" w:rsidP="001F6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</w:tbl>
    <w:p w:rsidR="00FE5BAD" w:rsidRDefault="00FE5BAD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169686282"/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внутреннего контроля и режима 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Г.В. Меркулов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</w:t>
      </w:r>
      <w:r w:rsidRPr="00B7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cs="Arial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Е.А. Матвеев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</w:p>
    <w:p w:rsidR="00B734F5" w:rsidRDefault="00B734F5" w:rsidP="00633EE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А.В. Телебоков</w:t>
      </w:r>
    </w:p>
    <w:p w:rsidR="00601639" w:rsidRPr="00D168DF" w:rsidRDefault="00BF55D4" w:rsidP="00BF55D4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D4">
        <w:rPr>
          <w:rFonts w:cs="Arial"/>
          <w:b/>
          <w:bCs/>
          <w:color w:val="000000"/>
          <w:spacing w:val="-2"/>
        </w:rPr>
        <w:lastRenderedPageBreak/>
        <w:t>ремонт участка ограждения территории</w:t>
      </w:r>
      <w:r w:rsidR="00D168DF" w:rsidRPr="00D168DF">
        <w:rPr>
          <w:rFonts w:cs="Arial"/>
          <w:b/>
          <w:bCs/>
          <w:color w:val="000000"/>
          <w:spacing w:val="-2"/>
        </w:rPr>
        <w:t xml:space="preserve"> </w:t>
      </w:r>
      <w:r w:rsidR="00D168DF">
        <w:rPr>
          <w:rFonts w:cs="Arial"/>
          <w:b/>
          <w:bCs/>
          <w:color w:val="000000"/>
          <w:spacing w:val="-2"/>
        </w:rPr>
        <w:t>по ул.Конструкторов</w:t>
      </w:r>
    </w:p>
    <w:bookmarkEnd w:id="1"/>
    <w:p w:rsidR="00601639" w:rsidRDefault="00EC799D" w:rsidP="007740F3">
      <w:pPr>
        <w:shd w:val="clear" w:color="auto" w:fill="FFFFFF" w:themeFill="background1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99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004615"/>
            <wp:effectExtent l="0" t="0" r="3175" b="0"/>
            <wp:docPr id="7" name="Рисунок 7" descr="C:\ОКС ГК Юнитайл\2024\Технические задания\Ремонт ограждения территории по ул.Конструкторов и ул\Забор ул.Конструкт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ОКС ГК Юнитайл\2024\Технические задания\Ремонт ограждения территории по ул.Конструкторов и ул\Забор ул.Конструктор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93" w:rsidRDefault="00225793" w:rsidP="00215F4A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79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76900" cy="3829050"/>
            <wp:effectExtent l="0" t="0" r="0" b="0"/>
            <wp:docPr id="2" name="Рисунок 2" descr="L:\ОКС ГК Юнитайл\2023\Технические задания\Ремонт забора по ул.Конструкторов\О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ОКС ГК Юнитайл\2023\Технические задания\Ремонт забора по ул.Конструкторов\О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82" w:rsidRDefault="00413782" w:rsidP="0041378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внутреннего контроля и режима </w:t>
      </w:r>
    </w:p>
    <w:p w:rsidR="00413782" w:rsidRDefault="00413782" w:rsidP="0041378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Г.В. Меркулов</w:t>
      </w:r>
    </w:p>
    <w:p w:rsidR="00413782" w:rsidRDefault="00413782" w:rsidP="0041378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82" w:rsidRDefault="00413782" w:rsidP="00413782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</w:t>
      </w:r>
      <w:r w:rsidRPr="00B7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cs="Arial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Е.А. Матвеев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А.В. Телебоков</w:t>
      </w:r>
    </w:p>
    <w:p w:rsidR="00B734F5" w:rsidRDefault="00B734F5" w:rsidP="00B734F5">
      <w:pPr>
        <w:rPr>
          <w:rFonts w:cs="Arial"/>
        </w:rPr>
      </w:pPr>
    </w:p>
    <w:p w:rsidR="004B5260" w:rsidRPr="00B734F5" w:rsidRDefault="004B5260" w:rsidP="00B734F5">
      <w:pPr>
        <w:rPr>
          <w:rFonts w:cs="Arial"/>
        </w:rPr>
        <w:sectPr w:rsidR="004B5260" w:rsidRPr="00B734F5" w:rsidSect="00FE5BAD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051F15" w:rsidRDefault="00D168DF" w:rsidP="00D168DF">
      <w:pPr>
        <w:tabs>
          <w:tab w:val="left" w:pos="250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5D4">
        <w:rPr>
          <w:rFonts w:cs="Arial"/>
          <w:b/>
          <w:bCs/>
          <w:color w:val="000000"/>
          <w:spacing w:val="-2"/>
        </w:rPr>
        <w:lastRenderedPageBreak/>
        <w:t>ремонт участка ограждения территории</w:t>
      </w:r>
      <w:r w:rsidRPr="00D168DF">
        <w:rPr>
          <w:rFonts w:cs="Arial"/>
          <w:b/>
          <w:bCs/>
          <w:color w:val="000000"/>
          <w:spacing w:val="-2"/>
        </w:rPr>
        <w:t xml:space="preserve"> </w:t>
      </w:r>
      <w:r w:rsidR="004C52B0">
        <w:rPr>
          <w:rFonts w:cs="Arial"/>
          <w:b/>
          <w:bCs/>
          <w:color w:val="000000"/>
          <w:spacing w:val="-2"/>
        </w:rPr>
        <w:t>склада</w:t>
      </w:r>
      <w:r w:rsidR="001625F3" w:rsidRPr="001625F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82EA9" w:rsidRDefault="00782EA9" w:rsidP="00782EA9">
      <w:pPr>
        <w:tabs>
          <w:tab w:val="left" w:pos="1477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82EA9" w:rsidSect="00051F15">
          <w:pgSz w:w="16838" w:h="11906" w:orient="landscape"/>
          <w:pgMar w:top="567" w:right="567" w:bottom="850" w:left="426" w:header="708" w:footer="708" w:gutter="0"/>
          <w:cols w:space="708"/>
          <w:docGrid w:linePitch="360"/>
        </w:sectPr>
      </w:pPr>
      <w:r w:rsidRPr="00782E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061575" cy="6325235"/>
            <wp:effectExtent l="0" t="0" r="0" b="0"/>
            <wp:docPr id="3" name="Рисунок 3" descr="C:\ОКС ГК Юнитайл\2024\Технические задания\Ремонт ограждения территории по ул.Конструкторов и ул\Огражд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КС ГК Юнитайл\2024\Технические задания\Ремонт ограждения территории по ул.Конструкторов и ул\Ограждени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632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DA0" w:rsidRPr="00051F15" w:rsidRDefault="00884DA0" w:rsidP="00051F15">
      <w:pPr>
        <w:tabs>
          <w:tab w:val="left" w:pos="1477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782" w:rsidRDefault="001625F3" w:rsidP="00D168DF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5F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73925" cy="4019550"/>
            <wp:effectExtent l="0" t="0" r="3175" b="0"/>
            <wp:docPr id="6" name="Рисунок 6" descr="C:\ОКС ГК Юнитайл\2024\Технические задания\Ремонт ограждения территории по ул.Конструкторов и ул\Участок з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ОКС ГК Юнитайл\2024\Технические задания\Ремонт ограждения территории по ул.Конструкторов и ул\Участок забор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9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782" w:rsidRDefault="00413782" w:rsidP="00D168DF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F15" w:rsidRDefault="00051F15" w:rsidP="00D168DF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1F15" w:rsidRDefault="00051F15" w:rsidP="00D168DF">
      <w:pPr>
        <w:shd w:val="clear" w:color="auto" w:fill="FFFFFF" w:themeFill="background1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внутреннего контроля и режима 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Г.В. Меркулов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службы</w:t>
      </w:r>
      <w:r w:rsidRPr="00B73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Е.А. Матвеев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78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</w:p>
    <w:p w:rsidR="00B734F5" w:rsidRDefault="00B734F5" w:rsidP="00B734F5">
      <w:pPr>
        <w:shd w:val="clear" w:color="auto" w:fill="FFFFFF" w:themeFill="background1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F64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«Воронежская керамика»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 А.В. Телебоков</w:t>
      </w:r>
    </w:p>
    <w:p w:rsidR="00413782" w:rsidRPr="00B734F5" w:rsidRDefault="00413782" w:rsidP="00B734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3782" w:rsidRPr="00B734F5" w:rsidSect="00051F15">
      <w:pgSz w:w="11906" w:h="16838"/>
      <w:pgMar w:top="567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8E" w:rsidRDefault="004F168E" w:rsidP="00051F15">
      <w:pPr>
        <w:spacing w:after="0" w:line="240" w:lineRule="auto"/>
      </w:pPr>
      <w:r>
        <w:separator/>
      </w:r>
    </w:p>
  </w:endnote>
  <w:endnote w:type="continuationSeparator" w:id="0">
    <w:p w:rsidR="004F168E" w:rsidRDefault="004F168E" w:rsidP="0005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8E" w:rsidRDefault="004F168E" w:rsidP="00051F15">
      <w:pPr>
        <w:spacing w:after="0" w:line="240" w:lineRule="auto"/>
      </w:pPr>
      <w:r>
        <w:separator/>
      </w:r>
    </w:p>
  </w:footnote>
  <w:footnote w:type="continuationSeparator" w:id="0">
    <w:p w:rsidR="004F168E" w:rsidRDefault="004F168E" w:rsidP="0005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C322F"/>
    <w:multiLevelType w:val="hybridMultilevel"/>
    <w:tmpl w:val="22D81E64"/>
    <w:lvl w:ilvl="0" w:tplc="D31427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62045D"/>
    <w:multiLevelType w:val="hybridMultilevel"/>
    <w:tmpl w:val="79DEBFB6"/>
    <w:lvl w:ilvl="0" w:tplc="E11209C8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39"/>
    <w:rsid w:val="00001FA9"/>
    <w:rsid w:val="00026F66"/>
    <w:rsid w:val="0003115C"/>
    <w:rsid w:val="00041B5F"/>
    <w:rsid w:val="0005076D"/>
    <w:rsid w:val="00051F15"/>
    <w:rsid w:val="00082653"/>
    <w:rsid w:val="00093FD2"/>
    <w:rsid w:val="000F3E7B"/>
    <w:rsid w:val="000F5AA5"/>
    <w:rsid w:val="00112558"/>
    <w:rsid w:val="00121805"/>
    <w:rsid w:val="001304EE"/>
    <w:rsid w:val="001305D2"/>
    <w:rsid w:val="00134A33"/>
    <w:rsid w:val="00135489"/>
    <w:rsid w:val="00150445"/>
    <w:rsid w:val="00154151"/>
    <w:rsid w:val="001625F3"/>
    <w:rsid w:val="00162F64"/>
    <w:rsid w:val="00181BE9"/>
    <w:rsid w:val="001B5CD1"/>
    <w:rsid w:val="001C1A7C"/>
    <w:rsid w:val="001D5F30"/>
    <w:rsid w:val="001E1A92"/>
    <w:rsid w:val="001F6DDB"/>
    <w:rsid w:val="00215F4A"/>
    <w:rsid w:val="00224124"/>
    <w:rsid w:val="00225793"/>
    <w:rsid w:val="00256E01"/>
    <w:rsid w:val="002711BA"/>
    <w:rsid w:val="00275D8E"/>
    <w:rsid w:val="00284DFA"/>
    <w:rsid w:val="002A4180"/>
    <w:rsid w:val="002A6177"/>
    <w:rsid w:val="002F2403"/>
    <w:rsid w:val="002F4B32"/>
    <w:rsid w:val="00304972"/>
    <w:rsid w:val="00326DF5"/>
    <w:rsid w:val="00335A06"/>
    <w:rsid w:val="00342AAE"/>
    <w:rsid w:val="00344674"/>
    <w:rsid w:val="003639A6"/>
    <w:rsid w:val="003A3E39"/>
    <w:rsid w:val="003A6DEC"/>
    <w:rsid w:val="003B4553"/>
    <w:rsid w:val="003B566F"/>
    <w:rsid w:val="003B7524"/>
    <w:rsid w:val="003C5A07"/>
    <w:rsid w:val="004011DA"/>
    <w:rsid w:val="00413782"/>
    <w:rsid w:val="00421717"/>
    <w:rsid w:val="0042736C"/>
    <w:rsid w:val="00427CD3"/>
    <w:rsid w:val="00442E5E"/>
    <w:rsid w:val="00446AEC"/>
    <w:rsid w:val="00455D78"/>
    <w:rsid w:val="004710F7"/>
    <w:rsid w:val="004A7D97"/>
    <w:rsid w:val="004B5260"/>
    <w:rsid w:val="004C0417"/>
    <w:rsid w:val="004C52B0"/>
    <w:rsid w:val="004F13C1"/>
    <w:rsid w:val="004F168E"/>
    <w:rsid w:val="00511129"/>
    <w:rsid w:val="00517464"/>
    <w:rsid w:val="00524E7D"/>
    <w:rsid w:val="00563F14"/>
    <w:rsid w:val="00570212"/>
    <w:rsid w:val="00572BC1"/>
    <w:rsid w:val="005A70E5"/>
    <w:rsid w:val="005F1CC0"/>
    <w:rsid w:val="005F34B7"/>
    <w:rsid w:val="00601302"/>
    <w:rsid w:val="00601639"/>
    <w:rsid w:val="00605A6B"/>
    <w:rsid w:val="00621DCE"/>
    <w:rsid w:val="00633EE5"/>
    <w:rsid w:val="00641C2B"/>
    <w:rsid w:val="00654D83"/>
    <w:rsid w:val="0067271D"/>
    <w:rsid w:val="006B3BFA"/>
    <w:rsid w:val="006C2D07"/>
    <w:rsid w:val="006D306B"/>
    <w:rsid w:val="006F25E1"/>
    <w:rsid w:val="007013C9"/>
    <w:rsid w:val="00704759"/>
    <w:rsid w:val="0075229F"/>
    <w:rsid w:val="007615E1"/>
    <w:rsid w:val="007740F3"/>
    <w:rsid w:val="007758D3"/>
    <w:rsid w:val="00782EA9"/>
    <w:rsid w:val="007A2891"/>
    <w:rsid w:val="007B61E2"/>
    <w:rsid w:val="007E6B2C"/>
    <w:rsid w:val="007F4D66"/>
    <w:rsid w:val="00812969"/>
    <w:rsid w:val="00823125"/>
    <w:rsid w:val="00845AAD"/>
    <w:rsid w:val="00861524"/>
    <w:rsid w:val="008642AA"/>
    <w:rsid w:val="00871287"/>
    <w:rsid w:val="00884DA0"/>
    <w:rsid w:val="00886D86"/>
    <w:rsid w:val="00894053"/>
    <w:rsid w:val="00894F17"/>
    <w:rsid w:val="008F3197"/>
    <w:rsid w:val="00911F4E"/>
    <w:rsid w:val="00931FC0"/>
    <w:rsid w:val="009368C8"/>
    <w:rsid w:val="00951F77"/>
    <w:rsid w:val="00954BD7"/>
    <w:rsid w:val="00974E32"/>
    <w:rsid w:val="009A7DD0"/>
    <w:rsid w:val="009C3228"/>
    <w:rsid w:val="009C6003"/>
    <w:rsid w:val="009C68D4"/>
    <w:rsid w:val="009D3D57"/>
    <w:rsid w:val="009D445E"/>
    <w:rsid w:val="009D6539"/>
    <w:rsid w:val="009E619C"/>
    <w:rsid w:val="00A00FD6"/>
    <w:rsid w:val="00A028FE"/>
    <w:rsid w:val="00A1751C"/>
    <w:rsid w:val="00A22402"/>
    <w:rsid w:val="00A27B90"/>
    <w:rsid w:val="00A3521F"/>
    <w:rsid w:val="00A652D1"/>
    <w:rsid w:val="00A71DF4"/>
    <w:rsid w:val="00A779A0"/>
    <w:rsid w:val="00A811BA"/>
    <w:rsid w:val="00A8181C"/>
    <w:rsid w:val="00A9302E"/>
    <w:rsid w:val="00AA78EF"/>
    <w:rsid w:val="00AB6917"/>
    <w:rsid w:val="00AD428C"/>
    <w:rsid w:val="00AE3D4C"/>
    <w:rsid w:val="00AF149F"/>
    <w:rsid w:val="00B06C61"/>
    <w:rsid w:val="00B13E94"/>
    <w:rsid w:val="00B32602"/>
    <w:rsid w:val="00B372A1"/>
    <w:rsid w:val="00B6725B"/>
    <w:rsid w:val="00B72CE9"/>
    <w:rsid w:val="00B734F5"/>
    <w:rsid w:val="00B85E7B"/>
    <w:rsid w:val="00B87617"/>
    <w:rsid w:val="00B90A28"/>
    <w:rsid w:val="00B91EAC"/>
    <w:rsid w:val="00BA0342"/>
    <w:rsid w:val="00BD34A2"/>
    <w:rsid w:val="00BE03A4"/>
    <w:rsid w:val="00BE6C77"/>
    <w:rsid w:val="00BF55D4"/>
    <w:rsid w:val="00BF6532"/>
    <w:rsid w:val="00C16AAA"/>
    <w:rsid w:val="00C90C4B"/>
    <w:rsid w:val="00C96E7F"/>
    <w:rsid w:val="00CB27CF"/>
    <w:rsid w:val="00CC5A34"/>
    <w:rsid w:val="00CF095A"/>
    <w:rsid w:val="00D13DE5"/>
    <w:rsid w:val="00D158C5"/>
    <w:rsid w:val="00D168DF"/>
    <w:rsid w:val="00D339ED"/>
    <w:rsid w:val="00D74D65"/>
    <w:rsid w:val="00DA51B8"/>
    <w:rsid w:val="00DC6786"/>
    <w:rsid w:val="00DE7459"/>
    <w:rsid w:val="00E13F86"/>
    <w:rsid w:val="00E14E52"/>
    <w:rsid w:val="00E34ADE"/>
    <w:rsid w:val="00E43633"/>
    <w:rsid w:val="00E52265"/>
    <w:rsid w:val="00E648DA"/>
    <w:rsid w:val="00EA34CF"/>
    <w:rsid w:val="00EC799D"/>
    <w:rsid w:val="00EE5D10"/>
    <w:rsid w:val="00EE6269"/>
    <w:rsid w:val="00EE6BE2"/>
    <w:rsid w:val="00EF3C97"/>
    <w:rsid w:val="00F537F4"/>
    <w:rsid w:val="00F71134"/>
    <w:rsid w:val="00F75DDD"/>
    <w:rsid w:val="00F833F7"/>
    <w:rsid w:val="00F94E5D"/>
    <w:rsid w:val="00F96EBC"/>
    <w:rsid w:val="00FA348A"/>
    <w:rsid w:val="00FC64F6"/>
    <w:rsid w:val="00FE5BAD"/>
    <w:rsid w:val="00FF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09B41D"/>
  <w15:docId w15:val="{FA93689C-EF5F-4EB6-B980-8B0D0194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62F64"/>
    <w:pPr>
      <w:keepNext/>
      <w:shd w:val="clear" w:color="auto" w:fill="FFFFFF"/>
      <w:spacing w:after="0" w:line="240" w:lineRule="atLeast"/>
      <w:jc w:val="center"/>
      <w:outlineLvl w:val="1"/>
    </w:pPr>
    <w:rPr>
      <w:rFonts w:ascii="Arial" w:eastAsia="Times New Roman" w:hAnsi="Arial" w:cs="Times New Roman"/>
      <w:b/>
      <w:color w:val="000000"/>
      <w:spacing w:val="10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A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62F64"/>
    <w:rPr>
      <w:rFonts w:ascii="Arial" w:eastAsia="Times New Roman" w:hAnsi="Arial" w:cs="Times New Roman"/>
      <w:b/>
      <w:color w:val="000000"/>
      <w:spacing w:val="101"/>
      <w:szCs w:val="20"/>
      <w:shd w:val="clear" w:color="auto" w:fill="FFFFFF"/>
      <w:lang w:eastAsia="ru-RU"/>
    </w:rPr>
  </w:style>
  <w:style w:type="paragraph" w:styleId="a6">
    <w:name w:val="Normal (Web)"/>
    <w:basedOn w:val="a"/>
    <w:uiPriority w:val="99"/>
    <w:unhideWhenUsed/>
    <w:rsid w:val="00EE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E6BE2"/>
    <w:rPr>
      <w:color w:val="0000FF"/>
      <w:u w:val="single"/>
    </w:rPr>
  </w:style>
  <w:style w:type="table" w:styleId="a8">
    <w:name w:val="Table Grid"/>
    <w:basedOn w:val="a1"/>
    <w:uiPriority w:val="59"/>
    <w:rsid w:val="0015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51F15"/>
  </w:style>
  <w:style w:type="paragraph" w:styleId="ab">
    <w:name w:val="footer"/>
    <w:basedOn w:val="a"/>
    <w:link w:val="ac"/>
    <w:uiPriority w:val="99"/>
    <w:unhideWhenUsed/>
    <w:rsid w:val="00051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5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8</Pages>
  <Words>2708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ЯГУ</Company>
  <LinksUpToDate>false</LinksUpToDate>
  <CharactersWithSpaces>18111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ЦТО</dc:creator>
  <cp:keywords/>
  <dc:description/>
  <cp:lastModifiedBy>Синтяев Дмитрий Владимирович</cp:lastModifiedBy>
  <cp:revision>67</cp:revision>
  <cp:lastPrinted>2024-01-29T13:10:00Z</cp:lastPrinted>
  <dcterms:created xsi:type="dcterms:W3CDTF">2023-05-31T09:58:00Z</dcterms:created>
  <dcterms:modified xsi:type="dcterms:W3CDTF">2024-04-08T07:59:00Z</dcterms:modified>
</cp:coreProperties>
</file>